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0" w:type="auto"/>
        <w:tblLook w:val="04A0" w:firstRow="1" w:lastRow="0" w:firstColumn="1" w:lastColumn="0" w:noHBand="0" w:noVBand="1"/>
      </w:tblPr>
      <w:tblGrid>
        <w:gridCol w:w="9628"/>
      </w:tblGrid>
      <w:tr>
        <w:tc>
          <w:tcPr>
            <w:tcW w:w="9628" w:type="dxa"/>
          </w:tcPr>
          <w:p>
            <w:pPr>
              <w:jc w:val="center"/>
              <w:rPr>
                <w:b/>
                <w:bCs/>
              </w:rPr>
            </w:pPr>
            <w:r>
              <w:rPr>
                <w:b/>
                <w:bCs/>
              </w:rPr>
              <w:t>NOTA INTEGRATIVA AL RENDICONTO DI GESTIONE 2021</w:t>
            </w:r>
          </w:p>
        </w:tc>
      </w:tr>
    </w:tbl>
    <w:p>
      <w:pPr>
        <w:jc w:val="both"/>
      </w:pPr>
    </w:p>
    <w:p>
      <w:pPr>
        <w:jc w:val="both"/>
      </w:pPr>
      <w:r>
        <w:t>In conseguenza della situazione di emergenza causata dalla pandemia per COVID-19 sono stati emanati, e tuttora in vigore, provvedimenti governativi per la tutela della salute.</w:t>
      </w:r>
    </w:p>
    <w:p>
      <w:pPr>
        <w:jc w:val="both"/>
      </w:pPr>
      <w:r>
        <w:t>Per tali effetti, sono state dettate specifiche disposizioni relative alle assemblee e alle decisioni dei Soci.</w:t>
      </w:r>
    </w:p>
    <w:p>
      <w:pPr>
        <w:jc w:val="both"/>
      </w:pPr>
    </w:p>
    <w:p>
      <w:pPr>
        <w:jc w:val="both"/>
      </w:pPr>
      <w:r>
        <w:t>Gentili Colleghi,</w:t>
      </w:r>
    </w:p>
    <w:p>
      <w:pPr>
        <w:jc w:val="both"/>
      </w:pPr>
      <w:r>
        <w:t>il rendiconto di gestione o bilancio consuntivo che viene sottoposto alla Vostra approvazione è stato redatto sulla base del prospetto previsto dal Regolamento per l’Amministrazione e la Contabilità dell’Ordine.</w:t>
      </w:r>
    </w:p>
    <w:p>
      <w:pPr>
        <w:jc w:val="both"/>
      </w:pPr>
      <w:r>
        <w:t>Il Regolamento prevede che il Rendiconto generale sia composto dai seguenti documenti:</w:t>
      </w:r>
    </w:p>
    <w:p>
      <w:pPr>
        <w:pStyle w:val="Paragrafoelenco"/>
        <w:numPr>
          <w:ilvl w:val="0"/>
          <w:numId w:val="4"/>
        </w:numPr>
        <w:jc w:val="both"/>
      </w:pPr>
      <w:r>
        <w:t xml:space="preserve">Conto del bilancio (Rendiconto finanziario gestionale); </w:t>
      </w:r>
    </w:p>
    <w:p>
      <w:pPr>
        <w:pStyle w:val="Paragrafoelenco"/>
        <w:numPr>
          <w:ilvl w:val="0"/>
          <w:numId w:val="4"/>
        </w:numPr>
        <w:jc w:val="both"/>
      </w:pPr>
      <w:r>
        <w:t>Conto economico;</w:t>
      </w:r>
    </w:p>
    <w:p>
      <w:pPr>
        <w:pStyle w:val="Paragrafoelenco"/>
        <w:numPr>
          <w:ilvl w:val="0"/>
          <w:numId w:val="4"/>
        </w:numPr>
        <w:jc w:val="both"/>
      </w:pPr>
      <w:r>
        <w:t>Stato patrimoniale;</w:t>
      </w:r>
    </w:p>
    <w:p>
      <w:pPr>
        <w:pStyle w:val="Paragrafoelenco"/>
        <w:numPr>
          <w:ilvl w:val="0"/>
          <w:numId w:val="4"/>
        </w:numPr>
        <w:jc w:val="both"/>
      </w:pPr>
      <w:r>
        <w:t>Nota integrativa in forma abbreviata.</w:t>
      </w:r>
    </w:p>
    <w:p>
      <w:pPr>
        <w:jc w:val="both"/>
      </w:pPr>
      <w:r>
        <w:t>Il Rendiconto generale è corredato inoltre dai seguenti ulteriori documenti:</w:t>
      </w:r>
    </w:p>
    <w:p>
      <w:pPr>
        <w:pStyle w:val="Paragrafoelenco"/>
        <w:numPr>
          <w:ilvl w:val="0"/>
          <w:numId w:val="4"/>
        </w:numPr>
        <w:jc w:val="both"/>
      </w:pPr>
      <w:r>
        <w:t>Situazione amministrativa, ove è evidenziata la formazione e la destinazione dell’avanzo di amministrazione;</w:t>
      </w:r>
    </w:p>
    <w:p>
      <w:pPr>
        <w:pStyle w:val="Paragrafoelenco"/>
        <w:numPr>
          <w:ilvl w:val="0"/>
          <w:numId w:val="4"/>
        </w:numPr>
        <w:jc w:val="both"/>
      </w:pPr>
      <w:r>
        <w:t>Relazione del Collegio dei Revisori.</w:t>
      </w:r>
    </w:p>
    <w:p>
      <w:pPr>
        <w:jc w:val="both"/>
      </w:pPr>
      <w:r>
        <w:t xml:space="preserve">Ciascuno dei documenti di cui si compone il Rendiconto generale è stato redatto nel rispetto degli schemi pubblicati in facsimile sulla GU n. 103 del 6/5/2003 nonché tenendo presenti le disposizioni degli articoli 2423, 2423 bis e 2423 ter del </w:t>
      </w:r>
      <w:proofErr w:type="gramStart"/>
      <w:r>
        <w:t>codice civile</w:t>
      </w:r>
      <w:proofErr w:type="gramEnd"/>
      <w:r>
        <w:t xml:space="preserve"> per quanto riguarda la redazione del Conto economico e dello Stato patrimoniale e dell’articolo 2427 del codice civile per la Nota integrativa. La presente Nota integrativa, redatta in forma abbreviata, persegue l’obiettivo di agevolare la comprensione comparata dei diversi documenti presenti. Di seguito vengono analizzati i singoli documenti di cui si compone il Rendiconto generale.</w:t>
      </w:r>
    </w:p>
    <w:p>
      <w:pPr>
        <w:jc w:val="center"/>
        <w:rPr>
          <w:b/>
          <w:bCs/>
        </w:rPr>
      </w:pPr>
      <w:r>
        <w:rPr>
          <w:b/>
          <w:bCs/>
        </w:rPr>
        <w:t>CONTO DEL BILANCIO</w:t>
      </w:r>
    </w:p>
    <w:p>
      <w:pPr>
        <w:spacing w:after="0"/>
        <w:jc w:val="both"/>
      </w:pPr>
      <w:r>
        <w:t xml:space="preserve">Il Conto del bilancio (Rendiconto finanziario gestionale) è redatto secondo criteri di imputazione temporale sia di competenza finanziaria che di cassa ed espone i risultati della gestione finanziaria delle entrate e delle uscite che si compendiano nel Rendiconto finanziario gestionale distinto nella gestione di competenza, nella gestione dei residui e nella gestione di cassa. </w:t>
      </w:r>
    </w:p>
    <w:p>
      <w:pPr>
        <w:spacing w:after="0"/>
        <w:jc w:val="both"/>
      </w:pPr>
      <w:r>
        <w:t xml:space="preserve">Il criterio di competenza finanziaria attribuisce un’operazione di entrata o di spesa all’esercizio nel quale è stata accertata o impegnata. </w:t>
      </w:r>
    </w:p>
    <w:p>
      <w:pPr>
        <w:spacing w:after="0"/>
        <w:jc w:val="both"/>
      </w:pPr>
      <w:r>
        <w:t xml:space="preserve">Si ricorda che un’entrata si considera “accertata” quando sono determinati tutti gli elementi che identificano il credito, la motivazione, il debitore, l’esatto ammontare e la scadenza; una spesa si considera “impegnata” quando vengono vincolati mezzi finanziari per un determinato motivo ed entro una determinata scadenza. </w:t>
      </w:r>
    </w:p>
    <w:p>
      <w:pPr>
        <w:spacing w:after="0"/>
        <w:jc w:val="both"/>
      </w:pPr>
      <w:r>
        <w:t xml:space="preserve">Il criterio di cassa pone invece l’attenzione sul movimento monetario, quindi, in base ad esso, un’entrata è di competenza nel momento in cui viene riscossa e un’uscita è di competenza nel momento in cui avviene il pagamento. In sintesi, per la medesima operazione, il momento della competenza finanziaria corrisponde alla nascita del credito o del debito (fase dell’accertamento e dell’impegno) mentre il momento di cassa corrisponde al momento di riscossione o di pagamento. </w:t>
      </w:r>
    </w:p>
    <w:p>
      <w:pPr>
        <w:spacing w:after="0"/>
        <w:jc w:val="both"/>
      </w:pPr>
      <w:r>
        <w:lastRenderedPageBreak/>
        <w:t xml:space="preserve">Attraverso la gestione dei residui attivi e passivi si ha la relazione tra la gestione di competenza finanziaria e quella di cassa. Infatti, è attraverso la determinazione dei residui che si ha l’identificazione delle entrate e delle spese accertate o impegnate alla fine dell’esercizio ma non ancora incassate o pagate. </w:t>
      </w:r>
    </w:p>
    <w:p>
      <w:pPr>
        <w:spacing w:after="0"/>
        <w:jc w:val="both"/>
      </w:pPr>
      <w:r>
        <w:t xml:space="preserve">Il Rendiconto finanziario gestionale si articola in titoli, categorie e capitoli ed evidenzia: </w:t>
      </w:r>
    </w:p>
    <w:p>
      <w:pPr>
        <w:pStyle w:val="Paragrafoelenco"/>
        <w:numPr>
          <w:ilvl w:val="0"/>
          <w:numId w:val="4"/>
        </w:numPr>
        <w:spacing w:after="0"/>
        <w:jc w:val="both"/>
      </w:pPr>
      <w:r>
        <w:t>le entrate di competenza dell’anno accertate, riscosse o da riscuotere;</w:t>
      </w:r>
    </w:p>
    <w:p>
      <w:pPr>
        <w:pStyle w:val="Paragrafoelenco"/>
        <w:numPr>
          <w:ilvl w:val="0"/>
          <w:numId w:val="4"/>
        </w:numPr>
        <w:spacing w:after="0"/>
        <w:jc w:val="both"/>
      </w:pPr>
      <w:r>
        <w:t xml:space="preserve">le uscite di competenza dell’anno impegnate, pagate o da pagare; </w:t>
      </w:r>
    </w:p>
    <w:p>
      <w:pPr>
        <w:pStyle w:val="Paragrafoelenco"/>
        <w:numPr>
          <w:ilvl w:val="0"/>
          <w:numId w:val="4"/>
        </w:numPr>
        <w:spacing w:after="0"/>
        <w:jc w:val="both"/>
      </w:pPr>
      <w:r>
        <w:t xml:space="preserve">la gestione dei residui attivi e passivi degli esercizi precedenti; </w:t>
      </w:r>
    </w:p>
    <w:p>
      <w:pPr>
        <w:pStyle w:val="Paragrafoelenco"/>
        <w:numPr>
          <w:ilvl w:val="0"/>
          <w:numId w:val="4"/>
        </w:numPr>
        <w:spacing w:after="0"/>
        <w:jc w:val="both"/>
      </w:pPr>
      <w:r>
        <w:t xml:space="preserve">le somme riscosse e pagate in conto competenza ed in conto residui; </w:t>
      </w:r>
    </w:p>
    <w:p>
      <w:pPr>
        <w:pStyle w:val="Paragrafoelenco"/>
        <w:numPr>
          <w:ilvl w:val="0"/>
          <w:numId w:val="4"/>
        </w:numPr>
        <w:spacing w:after="0"/>
        <w:jc w:val="both"/>
      </w:pPr>
      <w:r>
        <w:t xml:space="preserve">il totale dei residui attivi e passivi da trasferire all’esercizio successivo. </w:t>
      </w:r>
    </w:p>
    <w:p>
      <w:pPr>
        <w:spacing w:after="0"/>
        <w:jc w:val="both"/>
      </w:pPr>
      <w:r>
        <w:t>Il bilancio, ai fini comparativi, riporta i dati previsionali relativi al medesimo esercizio.</w:t>
      </w:r>
    </w:p>
    <w:p>
      <w:pPr>
        <w:spacing w:after="0"/>
        <w:jc w:val="both"/>
      </w:pPr>
    </w:p>
    <w:tbl>
      <w:tblPr>
        <w:tblStyle w:val="Grigliatabella"/>
        <w:tblW w:w="0" w:type="auto"/>
        <w:tblLook w:val="04A0" w:firstRow="1" w:lastRow="0" w:firstColumn="1" w:lastColumn="0" w:noHBand="0" w:noVBand="1"/>
      </w:tblPr>
      <w:tblGrid>
        <w:gridCol w:w="9628"/>
      </w:tblGrid>
      <w:tr>
        <w:tc>
          <w:tcPr>
            <w:tcW w:w="9628" w:type="dxa"/>
          </w:tcPr>
          <w:p>
            <w:pPr>
              <w:jc w:val="center"/>
              <w:rPr>
                <w:b/>
                <w:bCs/>
              </w:rPr>
            </w:pPr>
            <w:r>
              <w:rPr>
                <w:b/>
                <w:bCs/>
              </w:rPr>
              <w:t>Entrate</w:t>
            </w:r>
          </w:p>
        </w:tc>
      </w:tr>
    </w:tbl>
    <w:p>
      <w:pPr>
        <w:jc w:val="both"/>
      </w:pPr>
    </w:p>
    <w:p>
      <w:pPr>
        <w:jc w:val="both"/>
        <w:rPr>
          <w:u w:val="single"/>
        </w:rPr>
      </w:pPr>
      <w:r>
        <w:rPr>
          <w:u w:val="single"/>
        </w:rPr>
        <w:t>Premessa</w:t>
      </w:r>
    </w:p>
    <w:p>
      <w:pPr>
        <w:jc w:val="both"/>
        <w:rPr>
          <w:rFonts w:ascii="Calibri" w:eastAsia="Times New Roman" w:hAnsi="Calibri" w:cs="Times New Roman"/>
          <w:color w:val="000000"/>
          <w:lang w:eastAsia="it-IT"/>
        </w:rPr>
      </w:pPr>
      <w:r>
        <w:t xml:space="preserve">Come noto le entrate del nostro Ente sono derivanti in massima parte dalla quota annuale di iscrizione: al 31/12/2021 risultavano n. 3.576 Iscritti all’Albo dei Medici e n. 509 iscritti all’Albo degli Odontoiatri per un totale di </w:t>
      </w:r>
      <w:r>
        <w:rPr>
          <w:rFonts w:ascii="Calibri" w:eastAsia="Times New Roman" w:hAnsi="Calibri" w:cs="Times New Roman"/>
          <w:color w:val="000000"/>
          <w:lang w:eastAsia="it-IT"/>
        </w:rPr>
        <w:t xml:space="preserve">4.085 </w:t>
      </w:r>
      <w:r>
        <w:t xml:space="preserve">iscritti ai due Albi. Risultavano inoltre </w:t>
      </w:r>
      <w:proofErr w:type="gramStart"/>
      <w:r>
        <w:t>5</w:t>
      </w:r>
      <w:proofErr w:type="gramEnd"/>
      <w:r>
        <w:t xml:space="preserve"> società tra professionisti.</w:t>
      </w:r>
    </w:p>
    <w:p>
      <w:pPr>
        <w:jc w:val="both"/>
      </w:pPr>
      <w:r>
        <w:t>Nel corso del 2021 gli accertamenti ammontano, comprese le entrate per partite di giro (pari ad €. 183.308,41), ad €. 976.557,95 costituite per la totalità (€. 793.249,54) dalle entrate correnti.</w:t>
      </w:r>
    </w:p>
    <w:p>
      <w:pPr>
        <w:jc w:val="both"/>
      </w:pPr>
      <w:r>
        <w:t>Riassumendo, sono state accertate entrate come di seguito indicato:</w:t>
      </w:r>
    </w:p>
    <w:p>
      <w:pPr>
        <w:pStyle w:val="Paragrafoelenco"/>
        <w:numPr>
          <w:ilvl w:val="0"/>
          <w:numId w:val="1"/>
        </w:numPr>
        <w:jc w:val="both"/>
        <w:rPr>
          <w:b/>
          <w:bCs/>
        </w:rPr>
      </w:pPr>
      <w:r>
        <w:rPr>
          <w:b/>
          <w:bCs/>
        </w:rPr>
        <w:t>Titolo I – Entrate Correnti</w:t>
      </w:r>
    </w:p>
    <w:p>
      <w:pPr>
        <w:ind w:left="360"/>
        <w:jc w:val="both"/>
        <w:rPr>
          <w:u w:val="single"/>
        </w:rPr>
      </w:pPr>
      <w:r>
        <w:rPr>
          <w:u w:val="single"/>
        </w:rPr>
        <w:t>Categoria I – Contributi Iscritti</w:t>
      </w:r>
    </w:p>
    <w:p>
      <w:pPr>
        <w:ind w:left="360"/>
        <w:jc w:val="both"/>
      </w:pPr>
      <w:r>
        <w:t>Le somme esposte nel Titolo I per totali €. 772.193,72 costituiscono le entrate effettive accertate come quota annuale di iscrizione negli Albi di competenza dell’Ordine.</w:t>
      </w:r>
    </w:p>
    <w:p>
      <w:pPr>
        <w:ind w:left="360"/>
        <w:jc w:val="both"/>
      </w:pPr>
      <w:r>
        <w:t>Le entrate contributive di competenza per il 2021 risultano incassate per €. 701.193,72 e quindi residuano da incassare, per l’anno 2021, €. 71.000,00 cui si aggiungono €. 70.724,16 degli esercizi precedenti (essenzialmente 2020), dopo aver anche stralciato alcune posizioni non più dovute per €. 8.876,48. Questo a seguito della pandemia e quindi del blocco della emissione delle cartelle esattoriali da parte dell’Agenzia delle Entrate Riscossione.</w:t>
      </w:r>
    </w:p>
    <w:p>
      <w:pPr>
        <w:ind w:left="360"/>
        <w:jc w:val="both"/>
        <w:rPr>
          <w:u w:val="single"/>
        </w:rPr>
      </w:pPr>
      <w:r>
        <w:rPr>
          <w:u w:val="single"/>
        </w:rPr>
        <w:t>Categoria II – Entrate per la preparazione di servizi</w:t>
      </w:r>
    </w:p>
    <w:p>
      <w:pPr>
        <w:ind w:left="360"/>
        <w:jc w:val="both"/>
      </w:pPr>
      <w:r>
        <w:t>Diritti di segreteria €. 3.614,80</w:t>
      </w:r>
    </w:p>
    <w:p>
      <w:pPr>
        <w:ind w:left="360"/>
        <w:jc w:val="both"/>
        <w:rPr>
          <w:u w:val="single"/>
        </w:rPr>
      </w:pPr>
      <w:r>
        <w:rPr>
          <w:u w:val="single"/>
        </w:rPr>
        <w:t>Categoria III – Redditi e proventi patrimoniali</w:t>
      </w:r>
    </w:p>
    <w:p>
      <w:pPr>
        <w:ind w:left="360"/>
        <w:jc w:val="both"/>
      </w:pPr>
      <w:r>
        <w:t>Interessi attivi su deposito di conto corrente €. 24,15, di cui residuo da incassare € 16,54</w:t>
      </w:r>
    </w:p>
    <w:p>
      <w:pPr>
        <w:ind w:left="360"/>
        <w:jc w:val="both"/>
        <w:rPr>
          <w:u w:val="single"/>
        </w:rPr>
      </w:pPr>
      <w:r>
        <w:rPr>
          <w:u w:val="single"/>
        </w:rPr>
        <w:t>Categoria IV – Poste correttive e compensative di spese correnti</w:t>
      </w:r>
    </w:p>
    <w:p>
      <w:pPr>
        <w:ind w:left="360"/>
        <w:jc w:val="both"/>
      </w:pPr>
      <w:r>
        <w:rPr>
          <w:rFonts w:cs="Arial"/>
        </w:rPr>
        <w:t>Rimborsi, contributi o recuperi diversi</w:t>
      </w:r>
      <w:r>
        <w:t xml:space="preserve"> €. 15.073,79</w:t>
      </w:r>
    </w:p>
    <w:p>
      <w:pPr>
        <w:ind w:left="360"/>
        <w:jc w:val="both"/>
      </w:pPr>
      <w:r>
        <w:t>Contributi Fnomceo o altri per corsi di aggiornamento €. 2.000,00</w:t>
      </w:r>
    </w:p>
    <w:p>
      <w:pPr>
        <w:ind w:left="360"/>
        <w:jc w:val="both"/>
        <w:rPr>
          <w:u w:val="single"/>
        </w:rPr>
      </w:pPr>
      <w:r>
        <w:rPr>
          <w:u w:val="single"/>
        </w:rPr>
        <w:t>Categoria V – Entrate non classificabili in altre voci</w:t>
      </w:r>
    </w:p>
    <w:p>
      <w:pPr>
        <w:ind w:left="360"/>
        <w:jc w:val="both"/>
      </w:pPr>
      <w:r>
        <w:rPr>
          <w:rFonts w:cs="Arial"/>
        </w:rPr>
        <w:t>Altri redditi, quote iscrizione e proventi diversi</w:t>
      </w:r>
      <w:r>
        <w:t xml:space="preserve"> €. 341,97</w:t>
      </w:r>
    </w:p>
    <w:p>
      <w:pPr>
        <w:ind w:left="360"/>
        <w:jc w:val="both"/>
      </w:pPr>
    </w:p>
    <w:p>
      <w:pPr>
        <w:ind w:left="360"/>
        <w:jc w:val="both"/>
      </w:pPr>
      <w:r>
        <w:lastRenderedPageBreak/>
        <w:t>Complessivamente le entrate del Titolo I ammontano ad €. 793.249,54, di cui €. 722.233,00 riscosse e €. 71.016,54 residue da riscuotere che si riporteranno al 2022 e pertanto inferiori di €. 77.581,88 rispetto alle previsioni di incasso.</w:t>
      </w:r>
    </w:p>
    <w:p>
      <w:pPr>
        <w:ind w:left="360"/>
        <w:jc w:val="both"/>
      </w:pPr>
    </w:p>
    <w:p>
      <w:pPr>
        <w:pStyle w:val="Paragrafoelenco"/>
        <w:numPr>
          <w:ilvl w:val="0"/>
          <w:numId w:val="1"/>
        </w:numPr>
        <w:jc w:val="both"/>
        <w:rPr>
          <w:b/>
          <w:bCs/>
        </w:rPr>
      </w:pPr>
      <w:r>
        <w:rPr>
          <w:b/>
          <w:bCs/>
        </w:rPr>
        <w:t>Titolo II – Entrate in Conto Capitale</w:t>
      </w:r>
    </w:p>
    <w:p>
      <w:pPr>
        <w:ind w:left="360"/>
      </w:pPr>
      <w:r>
        <w:t>Non vi sono state movimentazioni in conto capitale.</w:t>
      </w:r>
      <w:r>
        <w:br/>
      </w:r>
    </w:p>
    <w:p>
      <w:pPr>
        <w:pStyle w:val="Paragrafoelenco"/>
        <w:numPr>
          <w:ilvl w:val="0"/>
          <w:numId w:val="1"/>
        </w:numPr>
        <w:jc w:val="both"/>
        <w:rPr>
          <w:b/>
          <w:bCs/>
        </w:rPr>
      </w:pPr>
      <w:r>
        <w:rPr>
          <w:b/>
          <w:bCs/>
        </w:rPr>
        <w:t>Titolo III – Entrate per Partite di Giro</w:t>
      </w:r>
    </w:p>
    <w:p>
      <w:pPr>
        <w:pStyle w:val="Paragrafoelenco"/>
        <w:ind w:left="360"/>
        <w:jc w:val="both"/>
        <w:rPr>
          <w:u w:val="single"/>
        </w:rPr>
      </w:pPr>
      <w:r>
        <w:rPr>
          <w:u w:val="single"/>
        </w:rPr>
        <w:t>Categoria I – Entrate aventi natura di partite di giro</w:t>
      </w:r>
    </w:p>
    <w:p>
      <w:pPr>
        <w:ind w:left="360"/>
        <w:jc w:val="both"/>
      </w:pPr>
      <w:r>
        <w:t>Le operazioni in commento non hanno rilievo economico ma soltanto finanziario/contabile.</w:t>
      </w:r>
    </w:p>
    <w:p>
      <w:pPr>
        <w:ind w:left="360"/>
        <w:jc w:val="both"/>
      </w:pPr>
      <w:r>
        <w:t>A titolo esemplificativo si tratta principalmente di trattenute erariali e previdenziali operate sulle competenze del personale dipendente, dei collaboratori e dei professionisti.</w:t>
      </w:r>
    </w:p>
    <w:p>
      <w:pPr>
        <w:ind w:left="360"/>
        <w:jc w:val="both"/>
        <w:rPr>
          <w:rFonts w:ascii="Calibri" w:eastAsia="Times New Roman" w:hAnsi="Calibri" w:cs="Times New Roman"/>
          <w:color w:val="000000"/>
          <w:lang w:eastAsia="it-IT"/>
        </w:rPr>
      </w:pPr>
      <w:r>
        <w:t xml:space="preserve">Complessivamente le entrate del Titolo III ammontano ad €. 183.308,41 e risultano inferiori di €. </w:t>
      </w:r>
      <w:r>
        <w:rPr>
          <w:rFonts w:ascii="Calibri" w:eastAsia="Times New Roman" w:hAnsi="Calibri" w:cs="Times New Roman"/>
          <w:color w:val="000000"/>
          <w:lang w:eastAsia="it-IT"/>
        </w:rPr>
        <w:t xml:space="preserve">112.691,59 </w:t>
      </w:r>
      <w:r>
        <w:t xml:space="preserve">rispetto alle previsioni. </w:t>
      </w:r>
    </w:p>
    <w:p>
      <w:pPr>
        <w:ind w:left="360"/>
        <w:jc w:val="both"/>
      </w:pPr>
    </w:p>
    <w:tbl>
      <w:tblPr>
        <w:tblStyle w:val="Grigliatabella"/>
        <w:tblW w:w="0" w:type="auto"/>
        <w:tblLook w:val="04A0" w:firstRow="1" w:lastRow="0" w:firstColumn="1" w:lastColumn="0" w:noHBand="0" w:noVBand="1"/>
      </w:tblPr>
      <w:tblGrid>
        <w:gridCol w:w="9628"/>
      </w:tblGrid>
      <w:tr>
        <w:tc>
          <w:tcPr>
            <w:tcW w:w="9628" w:type="dxa"/>
          </w:tcPr>
          <w:p>
            <w:pPr>
              <w:jc w:val="center"/>
              <w:rPr>
                <w:b/>
                <w:bCs/>
              </w:rPr>
            </w:pPr>
            <w:r>
              <w:rPr>
                <w:b/>
                <w:bCs/>
              </w:rPr>
              <w:t>Uscite</w:t>
            </w:r>
          </w:p>
        </w:tc>
      </w:tr>
    </w:tbl>
    <w:p>
      <w:pPr>
        <w:jc w:val="both"/>
      </w:pPr>
    </w:p>
    <w:p>
      <w:pPr>
        <w:jc w:val="both"/>
        <w:rPr>
          <w:u w:val="single"/>
        </w:rPr>
      </w:pPr>
      <w:r>
        <w:rPr>
          <w:u w:val="single"/>
        </w:rPr>
        <w:t>Premessa</w:t>
      </w:r>
    </w:p>
    <w:p>
      <w:pPr>
        <w:ind w:left="360"/>
        <w:jc w:val="both"/>
      </w:pPr>
      <w:r>
        <w:t>Gli impegni dell’anno 2021, comprese le spese in conto capitale e le uscite per partite di giro, sono ammontati ad €. 1.064.879,17 (€. 900.347,33 nel 2020) così suddivise: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4752"/>
        <w:gridCol w:w="1554"/>
        <w:gridCol w:w="1808"/>
      </w:tblGrid>
      <w:tr>
        <w:tc>
          <w:tcPr>
            <w:tcW w:w="786" w:type="pct"/>
            <w:shd w:val="clear" w:color="auto" w:fill="auto"/>
          </w:tcPr>
          <w:p>
            <w:pPr>
              <w:jc w:val="both"/>
              <w:rPr>
                <w:rFonts w:cstheme="minorHAnsi"/>
                <w:color w:val="000000"/>
                <w:sz w:val="18"/>
                <w:szCs w:val="18"/>
              </w:rPr>
            </w:pPr>
          </w:p>
        </w:tc>
        <w:tc>
          <w:tcPr>
            <w:tcW w:w="2468" w:type="pct"/>
            <w:shd w:val="clear" w:color="auto" w:fill="auto"/>
          </w:tcPr>
          <w:p>
            <w:pPr>
              <w:jc w:val="both"/>
              <w:rPr>
                <w:rFonts w:cstheme="minorHAnsi"/>
                <w:color w:val="000000"/>
                <w:sz w:val="18"/>
                <w:szCs w:val="18"/>
              </w:rPr>
            </w:pPr>
            <w:r>
              <w:rPr>
                <w:rFonts w:cstheme="minorHAnsi"/>
                <w:color w:val="000000"/>
                <w:sz w:val="18"/>
                <w:szCs w:val="18"/>
              </w:rPr>
              <w:t>TITOLO I – SPESE CORRENTI</w:t>
            </w:r>
          </w:p>
        </w:tc>
        <w:tc>
          <w:tcPr>
            <w:tcW w:w="807" w:type="pct"/>
          </w:tcPr>
          <w:p>
            <w:pPr>
              <w:jc w:val="right"/>
              <w:rPr>
                <w:rFonts w:cstheme="minorHAnsi"/>
                <w:color w:val="000000"/>
                <w:sz w:val="18"/>
                <w:szCs w:val="18"/>
              </w:rPr>
            </w:pPr>
            <w:r>
              <w:rPr>
                <w:rFonts w:cstheme="minorHAnsi"/>
                <w:color w:val="000000"/>
                <w:sz w:val="18"/>
                <w:szCs w:val="18"/>
              </w:rPr>
              <w:t>2020</w:t>
            </w:r>
          </w:p>
        </w:tc>
        <w:tc>
          <w:tcPr>
            <w:tcW w:w="939" w:type="pct"/>
          </w:tcPr>
          <w:p>
            <w:pPr>
              <w:jc w:val="right"/>
              <w:rPr>
                <w:rFonts w:cstheme="minorHAnsi"/>
                <w:color w:val="000000"/>
                <w:sz w:val="18"/>
                <w:szCs w:val="18"/>
              </w:rPr>
            </w:pPr>
            <w:r>
              <w:rPr>
                <w:rFonts w:cstheme="minorHAnsi"/>
                <w:color w:val="000000"/>
                <w:sz w:val="18"/>
                <w:szCs w:val="18"/>
              </w:rPr>
              <w:t>2021</w:t>
            </w:r>
          </w:p>
        </w:tc>
      </w:tr>
      <w:tr>
        <w:tc>
          <w:tcPr>
            <w:tcW w:w="786" w:type="pct"/>
            <w:shd w:val="clear" w:color="auto" w:fill="auto"/>
          </w:tcPr>
          <w:p>
            <w:pPr>
              <w:jc w:val="both"/>
              <w:rPr>
                <w:rFonts w:cstheme="minorHAnsi"/>
                <w:color w:val="000000"/>
                <w:sz w:val="18"/>
                <w:szCs w:val="18"/>
              </w:rPr>
            </w:pPr>
            <w:r>
              <w:rPr>
                <w:rFonts w:cstheme="minorHAnsi"/>
                <w:color w:val="000000"/>
                <w:sz w:val="18"/>
                <w:szCs w:val="18"/>
              </w:rPr>
              <w:t>Categoria 1</w:t>
            </w:r>
          </w:p>
        </w:tc>
        <w:tc>
          <w:tcPr>
            <w:tcW w:w="2468" w:type="pct"/>
            <w:shd w:val="clear" w:color="auto" w:fill="auto"/>
          </w:tcPr>
          <w:p>
            <w:pPr>
              <w:jc w:val="both"/>
              <w:rPr>
                <w:rFonts w:cstheme="minorHAnsi"/>
                <w:color w:val="000000"/>
                <w:sz w:val="18"/>
                <w:szCs w:val="18"/>
              </w:rPr>
            </w:pPr>
            <w:r>
              <w:rPr>
                <w:rFonts w:cstheme="minorHAnsi"/>
                <w:color w:val="000000"/>
                <w:sz w:val="18"/>
                <w:szCs w:val="18"/>
              </w:rPr>
              <w:t>Spese per gli organi istituzionali</w:t>
            </w:r>
          </w:p>
        </w:tc>
        <w:tc>
          <w:tcPr>
            <w:tcW w:w="807" w:type="pct"/>
          </w:tcPr>
          <w:p>
            <w:pPr>
              <w:jc w:val="right"/>
              <w:rPr>
                <w:rFonts w:cstheme="minorHAnsi"/>
                <w:color w:val="000000"/>
                <w:sz w:val="18"/>
                <w:szCs w:val="18"/>
              </w:rPr>
            </w:pPr>
            <w:r>
              <w:rPr>
                <w:rFonts w:cstheme="minorHAnsi"/>
                <w:color w:val="000000"/>
                <w:sz w:val="18"/>
                <w:szCs w:val="18"/>
              </w:rPr>
              <w:t>€ 107.667,96</w:t>
            </w:r>
          </w:p>
        </w:tc>
        <w:tc>
          <w:tcPr>
            <w:tcW w:w="939" w:type="pct"/>
          </w:tcPr>
          <w:p>
            <w:pPr>
              <w:jc w:val="right"/>
              <w:rPr>
                <w:rFonts w:cstheme="minorHAnsi"/>
                <w:color w:val="000000"/>
                <w:sz w:val="18"/>
                <w:szCs w:val="18"/>
              </w:rPr>
            </w:pPr>
            <w:r>
              <w:rPr>
                <w:rFonts w:cstheme="minorHAnsi"/>
                <w:color w:val="000000"/>
                <w:sz w:val="18"/>
                <w:szCs w:val="18"/>
              </w:rPr>
              <w:t>€ 134.762,80</w:t>
            </w:r>
          </w:p>
        </w:tc>
      </w:tr>
      <w:tr>
        <w:tc>
          <w:tcPr>
            <w:tcW w:w="786" w:type="pct"/>
            <w:shd w:val="clear" w:color="auto" w:fill="auto"/>
          </w:tcPr>
          <w:p>
            <w:pPr>
              <w:jc w:val="both"/>
              <w:rPr>
                <w:rFonts w:cstheme="minorHAnsi"/>
                <w:color w:val="000000"/>
                <w:sz w:val="18"/>
                <w:szCs w:val="18"/>
              </w:rPr>
            </w:pPr>
            <w:r>
              <w:rPr>
                <w:rFonts w:cstheme="minorHAnsi"/>
                <w:color w:val="000000"/>
                <w:sz w:val="18"/>
                <w:szCs w:val="18"/>
              </w:rPr>
              <w:t>Categoria 2</w:t>
            </w:r>
          </w:p>
        </w:tc>
        <w:tc>
          <w:tcPr>
            <w:tcW w:w="2468" w:type="pct"/>
            <w:shd w:val="clear" w:color="auto" w:fill="auto"/>
          </w:tcPr>
          <w:p>
            <w:pPr>
              <w:jc w:val="both"/>
              <w:rPr>
                <w:rFonts w:cstheme="minorHAnsi"/>
                <w:color w:val="000000"/>
                <w:sz w:val="18"/>
                <w:szCs w:val="18"/>
              </w:rPr>
            </w:pPr>
            <w:r>
              <w:rPr>
                <w:rFonts w:cstheme="minorHAnsi"/>
                <w:color w:val="000000"/>
                <w:sz w:val="18"/>
                <w:szCs w:val="18"/>
              </w:rPr>
              <w:t>Spese di rappresentanza</w:t>
            </w:r>
          </w:p>
        </w:tc>
        <w:tc>
          <w:tcPr>
            <w:tcW w:w="807" w:type="pct"/>
          </w:tcPr>
          <w:p>
            <w:pPr>
              <w:jc w:val="right"/>
              <w:rPr>
                <w:rFonts w:cstheme="minorHAnsi"/>
                <w:color w:val="000000"/>
                <w:sz w:val="18"/>
                <w:szCs w:val="18"/>
              </w:rPr>
            </w:pPr>
            <w:r>
              <w:rPr>
                <w:rFonts w:cstheme="minorHAnsi"/>
                <w:color w:val="000000"/>
                <w:sz w:val="18"/>
                <w:szCs w:val="18"/>
              </w:rPr>
              <w:t>€ 8.801,89</w:t>
            </w:r>
          </w:p>
        </w:tc>
        <w:tc>
          <w:tcPr>
            <w:tcW w:w="939" w:type="pct"/>
          </w:tcPr>
          <w:p>
            <w:pPr>
              <w:jc w:val="right"/>
              <w:rPr>
                <w:rFonts w:cstheme="minorHAnsi"/>
                <w:color w:val="000000"/>
                <w:sz w:val="18"/>
                <w:szCs w:val="18"/>
              </w:rPr>
            </w:pPr>
            <w:r>
              <w:rPr>
                <w:rFonts w:cstheme="minorHAnsi"/>
                <w:color w:val="000000"/>
                <w:sz w:val="18"/>
                <w:szCs w:val="18"/>
              </w:rPr>
              <w:t>€ 6.802,13</w:t>
            </w:r>
          </w:p>
        </w:tc>
      </w:tr>
      <w:tr>
        <w:tc>
          <w:tcPr>
            <w:tcW w:w="786" w:type="pct"/>
            <w:shd w:val="clear" w:color="auto" w:fill="auto"/>
          </w:tcPr>
          <w:p>
            <w:pPr>
              <w:jc w:val="both"/>
              <w:rPr>
                <w:rFonts w:cstheme="minorHAnsi"/>
                <w:color w:val="000000"/>
                <w:sz w:val="18"/>
                <w:szCs w:val="18"/>
              </w:rPr>
            </w:pPr>
            <w:r>
              <w:rPr>
                <w:rFonts w:cstheme="minorHAnsi"/>
                <w:color w:val="000000"/>
                <w:sz w:val="18"/>
                <w:szCs w:val="18"/>
              </w:rPr>
              <w:t>Categoria 3</w:t>
            </w:r>
          </w:p>
        </w:tc>
        <w:tc>
          <w:tcPr>
            <w:tcW w:w="2468" w:type="pct"/>
            <w:shd w:val="clear" w:color="auto" w:fill="auto"/>
          </w:tcPr>
          <w:p>
            <w:pPr>
              <w:jc w:val="both"/>
              <w:rPr>
                <w:rFonts w:cstheme="minorHAnsi"/>
                <w:color w:val="000000"/>
                <w:sz w:val="18"/>
                <w:szCs w:val="18"/>
              </w:rPr>
            </w:pPr>
            <w:r>
              <w:rPr>
                <w:rFonts w:cstheme="minorHAnsi"/>
                <w:color w:val="000000"/>
                <w:sz w:val="18"/>
                <w:szCs w:val="18"/>
              </w:rPr>
              <w:t>Spese per il funzionamento di organi e commissioni</w:t>
            </w:r>
          </w:p>
        </w:tc>
        <w:tc>
          <w:tcPr>
            <w:tcW w:w="807" w:type="pct"/>
          </w:tcPr>
          <w:p>
            <w:pPr>
              <w:jc w:val="right"/>
              <w:rPr>
                <w:rFonts w:cstheme="minorHAnsi"/>
                <w:color w:val="000000"/>
                <w:sz w:val="18"/>
                <w:szCs w:val="18"/>
              </w:rPr>
            </w:pPr>
            <w:r>
              <w:rPr>
                <w:rFonts w:cstheme="minorHAnsi"/>
                <w:color w:val="000000"/>
                <w:sz w:val="18"/>
                <w:szCs w:val="18"/>
              </w:rPr>
              <w:t xml:space="preserve">€ </w:t>
            </w:r>
            <w:r>
              <w:rPr>
                <w:rFonts w:ascii="ArialNarrow" w:hAnsi="ArialNarrow" w:cs="ArialNarrow"/>
                <w:sz w:val="16"/>
                <w:szCs w:val="16"/>
              </w:rPr>
              <w:t>44,64</w:t>
            </w:r>
          </w:p>
        </w:tc>
        <w:tc>
          <w:tcPr>
            <w:tcW w:w="939" w:type="pct"/>
          </w:tcPr>
          <w:p>
            <w:pPr>
              <w:jc w:val="right"/>
              <w:rPr>
                <w:rFonts w:cstheme="minorHAnsi"/>
                <w:color w:val="000000"/>
                <w:sz w:val="18"/>
                <w:szCs w:val="18"/>
              </w:rPr>
            </w:pPr>
            <w:r>
              <w:rPr>
                <w:rFonts w:cstheme="minorHAnsi"/>
                <w:color w:val="000000"/>
                <w:sz w:val="18"/>
                <w:szCs w:val="18"/>
              </w:rPr>
              <w:t>€ 200,00</w:t>
            </w:r>
          </w:p>
        </w:tc>
      </w:tr>
      <w:tr>
        <w:tc>
          <w:tcPr>
            <w:tcW w:w="786" w:type="pct"/>
            <w:shd w:val="clear" w:color="auto" w:fill="auto"/>
          </w:tcPr>
          <w:p>
            <w:pPr>
              <w:jc w:val="both"/>
              <w:rPr>
                <w:rFonts w:cstheme="minorHAnsi"/>
                <w:color w:val="000000"/>
                <w:sz w:val="18"/>
                <w:szCs w:val="18"/>
              </w:rPr>
            </w:pPr>
            <w:r>
              <w:rPr>
                <w:rFonts w:cstheme="minorHAnsi"/>
                <w:color w:val="000000"/>
                <w:sz w:val="18"/>
                <w:szCs w:val="18"/>
              </w:rPr>
              <w:t>Categoria 4</w:t>
            </w:r>
          </w:p>
        </w:tc>
        <w:tc>
          <w:tcPr>
            <w:tcW w:w="2468" w:type="pct"/>
            <w:shd w:val="clear" w:color="auto" w:fill="auto"/>
          </w:tcPr>
          <w:p>
            <w:pPr>
              <w:jc w:val="both"/>
              <w:rPr>
                <w:rFonts w:cstheme="minorHAnsi"/>
                <w:color w:val="000000"/>
                <w:sz w:val="18"/>
                <w:szCs w:val="18"/>
              </w:rPr>
            </w:pPr>
            <w:r>
              <w:rPr>
                <w:rFonts w:cstheme="minorHAnsi"/>
                <w:color w:val="000000"/>
                <w:sz w:val="18"/>
                <w:szCs w:val="18"/>
              </w:rPr>
              <w:t>Promozione culturale, convegni-congressi, e altre manifestazioni</w:t>
            </w:r>
          </w:p>
        </w:tc>
        <w:tc>
          <w:tcPr>
            <w:tcW w:w="807" w:type="pct"/>
          </w:tcPr>
          <w:p>
            <w:pPr>
              <w:jc w:val="right"/>
              <w:rPr>
                <w:rFonts w:cstheme="minorHAnsi"/>
                <w:color w:val="000000"/>
                <w:sz w:val="18"/>
                <w:szCs w:val="18"/>
              </w:rPr>
            </w:pPr>
            <w:r>
              <w:rPr>
                <w:rFonts w:cstheme="minorHAnsi"/>
                <w:color w:val="000000"/>
                <w:sz w:val="18"/>
                <w:szCs w:val="18"/>
              </w:rPr>
              <w:t>€ 96.354,80</w:t>
            </w:r>
          </w:p>
        </w:tc>
        <w:tc>
          <w:tcPr>
            <w:tcW w:w="939" w:type="pct"/>
          </w:tcPr>
          <w:p>
            <w:pPr>
              <w:jc w:val="right"/>
              <w:rPr>
                <w:rFonts w:cstheme="minorHAnsi"/>
                <w:color w:val="000000"/>
                <w:sz w:val="18"/>
                <w:szCs w:val="18"/>
              </w:rPr>
            </w:pPr>
            <w:r>
              <w:rPr>
                <w:rFonts w:cstheme="minorHAnsi"/>
                <w:color w:val="000000"/>
                <w:sz w:val="18"/>
                <w:szCs w:val="18"/>
              </w:rPr>
              <w:t>€ 95.788,00</w:t>
            </w:r>
          </w:p>
        </w:tc>
      </w:tr>
      <w:tr>
        <w:tc>
          <w:tcPr>
            <w:tcW w:w="786" w:type="pct"/>
            <w:shd w:val="clear" w:color="auto" w:fill="auto"/>
          </w:tcPr>
          <w:p>
            <w:pPr>
              <w:jc w:val="both"/>
              <w:rPr>
                <w:rFonts w:cstheme="minorHAnsi"/>
                <w:color w:val="000000"/>
                <w:sz w:val="18"/>
                <w:szCs w:val="18"/>
              </w:rPr>
            </w:pPr>
            <w:r>
              <w:rPr>
                <w:rFonts w:cstheme="minorHAnsi"/>
                <w:color w:val="000000"/>
                <w:sz w:val="18"/>
                <w:szCs w:val="18"/>
              </w:rPr>
              <w:t>Categoria 5</w:t>
            </w:r>
          </w:p>
        </w:tc>
        <w:tc>
          <w:tcPr>
            <w:tcW w:w="2468" w:type="pct"/>
            <w:shd w:val="clear" w:color="auto" w:fill="auto"/>
          </w:tcPr>
          <w:p>
            <w:pPr>
              <w:jc w:val="both"/>
              <w:rPr>
                <w:rFonts w:cstheme="minorHAnsi"/>
                <w:color w:val="000000"/>
                <w:sz w:val="18"/>
                <w:szCs w:val="18"/>
              </w:rPr>
            </w:pPr>
            <w:r>
              <w:rPr>
                <w:rFonts w:cstheme="minorHAnsi"/>
                <w:color w:val="000000"/>
                <w:sz w:val="18"/>
                <w:szCs w:val="18"/>
              </w:rPr>
              <w:t>Spese pubblicazioni libri-riviste e altro</w:t>
            </w:r>
          </w:p>
        </w:tc>
        <w:tc>
          <w:tcPr>
            <w:tcW w:w="807" w:type="pct"/>
          </w:tcPr>
          <w:p>
            <w:pPr>
              <w:jc w:val="right"/>
              <w:rPr>
                <w:rFonts w:cstheme="minorHAnsi"/>
                <w:color w:val="000000"/>
                <w:sz w:val="18"/>
                <w:szCs w:val="18"/>
              </w:rPr>
            </w:pPr>
            <w:r>
              <w:rPr>
                <w:rFonts w:cstheme="minorHAnsi"/>
                <w:color w:val="000000"/>
                <w:sz w:val="18"/>
                <w:szCs w:val="18"/>
              </w:rPr>
              <w:t>€ 29.228,72</w:t>
            </w:r>
          </w:p>
        </w:tc>
        <w:tc>
          <w:tcPr>
            <w:tcW w:w="939" w:type="pct"/>
          </w:tcPr>
          <w:p>
            <w:pPr>
              <w:jc w:val="right"/>
              <w:rPr>
                <w:rFonts w:cstheme="minorHAnsi"/>
                <w:color w:val="000000"/>
                <w:sz w:val="18"/>
                <w:szCs w:val="18"/>
              </w:rPr>
            </w:pPr>
            <w:r>
              <w:rPr>
                <w:rFonts w:cstheme="minorHAnsi"/>
                <w:color w:val="000000"/>
                <w:sz w:val="18"/>
                <w:szCs w:val="18"/>
              </w:rPr>
              <w:t>€ 17.127,66</w:t>
            </w:r>
          </w:p>
        </w:tc>
      </w:tr>
      <w:tr>
        <w:tc>
          <w:tcPr>
            <w:tcW w:w="786" w:type="pct"/>
            <w:shd w:val="clear" w:color="auto" w:fill="auto"/>
          </w:tcPr>
          <w:p>
            <w:pPr>
              <w:jc w:val="both"/>
              <w:rPr>
                <w:rFonts w:cstheme="minorHAnsi"/>
                <w:color w:val="000000"/>
                <w:sz w:val="18"/>
                <w:szCs w:val="18"/>
              </w:rPr>
            </w:pPr>
            <w:r>
              <w:rPr>
                <w:rFonts w:cstheme="minorHAnsi"/>
                <w:color w:val="000000"/>
                <w:sz w:val="18"/>
                <w:szCs w:val="18"/>
              </w:rPr>
              <w:t>Categoria 6</w:t>
            </w:r>
          </w:p>
        </w:tc>
        <w:tc>
          <w:tcPr>
            <w:tcW w:w="2468" w:type="pct"/>
            <w:shd w:val="clear" w:color="auto" w:fill="auto"/>
          </w:tcPr>
          <w:p>
            <w:pPr>
              <w:jc w:val="both"/>
              <w:rPr>
                <w:rFonts w:cstheme="minorHAnsi"/>
                <w:color w:val="000000"/>
                <w:sz w:val="18"/>
                <w:szCs w:val="18"/>
              </w:rPr>
            </w:pPr>
            <w:r>
              <w:rPr>
                <w:rFonts w:cstheme="minorHAnsi"/>
                <w:color w:val="000000"/>
                <w:sz w:val="18"/>
                <w:szCs w:val="18"/>
              </w:rPr>
              <w:t>Spese per il personale</w:t>
            </w:r>
          </w:p>
        </w:tc>
        <w:tc>
          <w:tcPr>
            <w:tcW w:w="807" w:type="pct"/>
          </w:tcPr>
          <w:p>
            <w:pPr>
              <w:jc w:val="right"/>
              <w:rPr>
                <w:rFonts w:cstheme="minorHAnsi"/>
                <w:color w:val="000000"/>
                <w:sz w:val="18"/>
                <w:szCs w:val="18"/>
              </w:rPr>
            </w:pPr>
            <w:r>
              <w:rPr>
                <w:rFonts w:cstheme="minorHAnsi"/>
                <w:color w:val="000000"/>
                <w:sz w:val="18"/>
                <w:szCs w:val="18"/>
              </w:rPr>
              <w:t>€ 245.305,57</w:t>
            </w:r>
          </w:p>
        </w:tc>
        <w:tc>
          <w:tcPr>
            <w:tcW w:w="939" w:type="pct"/>
          </w:tcPr>
          <w:p>
            <w:pPr>
              <w:jc w:val="right"/>
              <w:rPr>
                <w:rFonts w:cstheme="minorHAnsi"/>
                <w:color w:val="000000"/>
                <w:sz w:val="18"/>
                <w:szCs w:val="18"/>
              </w:rPr>
            </w:pPr>
            <w:r>
              <w:rPr>
                <w:rFonts w:cstheme="minorHAnsi"/>
                <w:color w:val="000000"/>
                <w:sz w:val="18"/>
                <w:szCs w:val="18"/>
              </w:rPr>
              <w:t>€ 252.612,37</w:t>
            </w:r>
          </w:p>
        </w:tc>
      </w:tr>
      <w:tr>
        <w:tc>
          <w:tcPr>
            <w:tcW w:w="786" w:type="pct"/>
            <w:shd w:val="clear" w:color="auto" w:fill="auto"/>
          </w:tcPr>
          <w:p>
            <w:pPr>
              <w:jc w:val="both"/>
              <w:rPr>
                <w:rFonts w:cstheme="minorHAnsi"/>
                <w:color w:val="000000"/>
                <w:sz w:val="18"/>
                <w:szCs w:val="18"/>
              </w:rPr>
            </w:pPr>
            <w:r>
              <w:rPr>
                <w:rFonts w:cstheme="minorHAnsi"/>
                <w:color w:val="000000"/>
                <w:sz w:val="18"/>
                <w:szCs w:val="18"/>
              </w:rPr>
              <w:t>Categoria 7</w:t>
            </w:r>
          </w:p>
        </w:tc>
        <w:tc>
          <w:tcPr>
            <w:tcW w:w="2468" w:type="pct"/>
            <w:shd w:val="clear" w:color="auto" w:fill="auto"/>
          </w:tcPr>
          <w:p>
            <w:pPr>
              <w:jc w:val="both"/>
              <w:rPr>
                <w:rFonts w:cstheme="minorHAnsi"/>
                <w:color w:val="000000"/>
                <w:sz w:val="18"/>
                <w:szCs w:val="18"/>
              </w:rPr>
            </w:pPr>
            <w:r>
              <w:rPr>
                <w:rFonts w:cstheme="minorHAnsi"/>
                <w:color w:val="000000"/>
                <w:sz w:val="18"/>
                <w:szCs w:val="18"/>
              </w:rPr>
              <w:t>Spese per accertamenti sanitari</w:t>
            </w:r>
          </w:p>
        </w:tc>
        <w:tc>
          <w:tcPr>
            <w:tcW w:w="807" w:type="pct"/>
          </w:tcPr>
          <w:p>
            <w:pPr>
              <w:jc w:val="right"/>
              <w:rPr>
                <w:rFonts w:cstheme="minorHAnsi"/>
                <w:color w:val="000000"/>
                <w:sz w:val="18"/>
                <w:szCs w:val="18"/>
              </w:rPr>
            </w:pPr>
            <w:r>
              <w:rPr>
                <w:rFonts w:cstheme="minorHAnsi"/>
                <w:color w:val="000000"/>
                <w:sz w:val="18"/>
                <w:szCs w:val="18"/>
              </w:rPr>
              <w:t>€ 202,00</w:t>
            </w:r>
          </w:p>
        </w:tc>
        <w:tc>
          <w:tcPr>
            <w:tcW w:w="939" w:type="pct"/>
          </w:tcPr>
          <w:p>
            <w:pPr>
              <w:jc w:val="right"/>
              <w:rPr>
                <w:rFonts w:cstheme="minorHAnsi"/>
                <w:color w:val="000000"/>
                <w:sz w:val="18"/>
                <w:szCs w:val="18"/>
              </w:rPr>
            </w:pPr>
            <w:r>
              <w:rPr>
                <w:rFonts w:cstheme="minorHAnsi"/>
                <w:color w:val="000000"/>
                <w:sz w:val="18"/>
                <w:szCs w:val="18"/>
              </w:rPr>
              <w:t>€ 539,20</w:t>
            </w:r>
          </w:p>
        </w:tc>
      </w:tr>
      <w:tr>
        <w:tc>
          <w:tcPr>
            <w:tcW w:w="786" w:type="pct"/>
            <w:shd w:val="clear" w:color="auto" w:fill="auto"/>
          </w:tcPr>
          <w:p>
            <w:pPr>
              <w:jc w:val="both"/>
              <w:rPr>
                <w:rFonts w:cstheme="minorHAnsi"/>
                <w:color w:val="000000"/>
                <w:sz w:val="18"/>
                <w:szCs w:val="18"/>
              </w:rPr>
            </w:pPr>
            <w:r>
              <w:rPr>
                <w:rFonts w:cstheme="minorHAnsi"/>
                <w:color w:val="000000"/>
                <w:sz w:val="18"/>
                <w:szCs w:val="18"/>
              </w:rPr>
              <w:t>Categoria 8</w:t>
            </w:r>
          </w:p>
        </w:tc>
        <w:tc>
          <w:tcPr>
            <w:tcW w:w="2468" w:type="pct"/>
            <w:shd w:val="clear" w:color="auto" w:fill="auto"/>
          </w:tcPr>
          <w:p>
            <w:pPr>
              <w:jc w:val="both"/>
              <w:rPr>
                <w:rFonts w:cstheme="minorHAnsi"/>
                <w:color w:val="000000"/>
                <w:sz w:val="18"/>
                <w:szCs w:val="18"/>
              </w:rPr>
            </w:pPr>
            <w:r>
              <w:rPr>
                <w:rFonts w:cstheme="minorHAnsi"/>
                <w:color w:val="000000"/>
                <w:sz w:val="18"/>
                <w:szCs w:val="18"/>
              </w:rPr>
              <w:t>Oneri e compensi</w:t>
            </w:r>
          </w:p>
        </w:tc>
        <w:tc>
          <w:tcPr>
            <w:tcW w:w="807" w:type="pct"/>
          </w:tcPr>
          <w:p>
            <w:pPr>
              <w:jc w:val="right"/>
              <w:rPr>
                <w:rFonts w:cstheme="minorHAnsi"/>
                <w:color w:val="000000"/>
                <w:sz w:val="18"/>
                <w:szCs w:val="18"/>
              </w:rPr>
            </w:pPr>
            <w:r>
              <w:rPr>
                <w:rFonts w:cstheme="minorHAnsi"/>
                <w:color w:val="000000"/>
                <w:sz w:val="18"/>
                <w:szCs w:val="18"/>
              </w:rPr>
              <w:t>€ 54.151,42</w:t>
            </w:r>
          </w:p>
        </w:tc>
        <w:tc>
          <w:tcPr>
            <w:tcW w:w="939" w:type="pct"/>
          </w:tcPr>
          <w:p>
            <w:pPr>
              <w:jc w:val="right"/>
              <w:rPr>
                <w:rFonts w:cstheme="minorHAnsi"/>
                <w:color w:val="000000"/>
                <w:sz w:val="18"/>
                <w:szCs w:val="18"/>
              </w:rPr>
            </w:pPr>
            <w:r>
              <w:rPr>
                <w:rFonts w:cstheme="minorHAnsi"/>
                <w:color w:val="000000"/>
                <w:sz w:val="18"/>
                <w:szCs w:val="18"/>
              </w:rPr>
              <w:t>€ 59.715,64</w:t>
            </w:r>
          </w:p>
        </w:tc>
      </w:tr>
      <w:tr>
        <w:tc>
          <w:tcPr>
            <w:tcW w:w="786" w:type="pct"/>
            <w:shd w:val="clear" w:color="auto" w:fill="auto"/>
          </w:tcPr>
          <w:p>
            <w:pPr>
              <w:jc w:val="both"/>
              <w:rPr>
                <w:rFonts w:cstheme="minorHAnsi"/>
                <w:color w:val="000000"/>
                <w:sz w:val="18"/>
                <w:szCs w:val="18"/>
              </w:rPr>
            </w:pPr>
            <w:r>
              <w:rPr>
                <w:rFonts w:cstheme="minorHAnsi"/>
                <w:color w:val="000000"/>
                <w:sz w:val="18"/>
                <w:szCs w:val="18"/>
              </w:rPr>
              <w:t>Categoria 9</w:t>
            </w:r>
          </w:p>
        </w:tc>
        <w:tc>
          <w:tcPr>
            <w:tcW w:w="2468" w:type="pct"/>
            <w:shd w:val="clear" w:color="auto" w:fill="auto"/>
          </w:tcPr>
          <w:p>
            <w:pPr>
              <w:jc w:val="both"/>
              <w:rPr>
                <w:rFonts w:cstheme="minorHAnsi"/>
                <w:color w:val="000000"/>
                <w:sz w:val="18"/>
                <w:szCs w:val="18"/>
              </w:rPr>
            </w:pPr>
            <w:r>
              <w:rPr>
                <w:rFonts w:cstheme="minorHAnsi"/>
                <w:color w:val="000000"/>
                <w:sz w:val="18"/>
                <w:szCs w:val="18"/>
              </w:rPr>
              <w:t>Spese per la sede</w:t>
            </w:r>
          </w:p>
        </w:tc>
        <w:tc>
          <w:tcPr>
            <w:tcW w:w="807" w:type="pct"/>
          </w:tcPr>
          <w:p>
            <w:pPr>
              <w:jc w:val="right"/>
              <w:rPr>
                <w:rFonts w:cstheme="minorHAnsi"/>
                <w:color w:val="000000"/>
                <w:sz w:val="18"/>
                <w:szCs w:val="18"/>
              </w:rPr>
            </w:pPr>
            <w:r>
              <w:rPr>
                <w:rFonts w:cstheme="minorHAnsi"/>
                <w:color w:val="000000"/>
                <w:sz w:val="18"/>
                <w:szCs w:val="18"/>
              </w:rPr>
              <w:t>€ 49.383,48</w:t>
            </w:r>
          </w:p>
        </w:tc>
        <w:tc>
          <w:tcPr>
            <w:tcW w:w="939" w:type="pct"/>
          </w:tcPr>
          <w:p>
            <w:pPr>
              <w:jc w:val="right"/>
              <w:rPr>
                <w:rFonts w:cstheme="minorHAnsi"/>
                <w:color w:val="000000"/>
                <w:sz w:val="18"/>
                <w:szCs w:val="18"/>
              </w:rPr>
            </w:pPr>
            <w:r>
              <w:rPr>
                <w:rFonts w:cstheme="minorHAnsi"/>
                <w:color w:val="000000"/>
                <w:sz w:val="18"/>
                <w:szCs w:val="18"/>
              </w:rPr>
              <w:t>€ 17.374,98</w:t>
            </w:r>
          </w:p>
        </w:tc>
      </w:tr>
      <w:tr>
        <w:tc>
          <w:tcPr>
            <w:tcW w:w="786" w:type="pct"/>
            <w:shd w:val="clear" w:color="auto" w:fill="auto"/>
          </w:tcPr>
          <w:p>
            <w:pPr>
              <w:jc w:val="both"/>
              <w:rPr>
                <w:rFonts w:cstheme="minorHAnsi"/>
                <w:color w:val="000000"/>
                <w:sz w:val="18"/>
                <w:szCs w:val="18"/>
              </w:rPr>
            </w:pPr>
            <w:r>
              <w:rPr>
                <w:rFonts w:cstheme="minorHAnsi"/>
                <w:color w:val="000000"/>
                <w:sz w:val="18"/>
                <w:szCs w:val="18"/>
              </w:rPr>
              <w:t>Categoria 10</w:t>
            </w:r>
          </w:p>
        </w:tc>
        <w:tc>
          <w:tcPr>
            <w:tcW w:w="2468" w:type="pct"/>
            <w:shd w:val="clear" w:color="auto" w:fill="auto"/>
          </w:tcPr>
          <w:p>
            <w:pPr>
              <w:jc w:val="both"/>
              <w:rPr>
                <w:rFonts w:cstheme="minorHAnsi"/>
                <w:color w:val="000000"/>
                <w:sz w:val="18"/>
                <w:szCs w:val="18"/>
              </w:rPr>
            </w:pPr>
            <w:r>
              <w:rPr>
                <w:rFonts w:cstheme="minorHAnsi"/>
                <w:color w:val="000000"/>
                <w:sz w:val="18"/>
                <w:szCs w:val="18"/>
              </w:rPr>
              <w:t>Spese beni di consumo-servizi-manutenzioni-noleggi</w:t>
            </w:r>
          </w:p>
        </w:tc>
        <w:tc>
          <w:tcPr>
            <w:tcW w:w="807" w:type="pct"/>
          </w:tcPr>
          <w:p>
            <w:pPr>
              <w:jc w:val="right"/>
              <w:rPr>
                <w:rFonts w:cstheme="minorHAnsi"/>
                <w:color w:val="000000"/>
                <w:sz w:val="18"/>
                <w:szCs w:val="18"/>
              </w:rPr>
            </w:pPr>
            <w:r>
              <w:rPr>
                <w:rFonts w:cstheme="minorHAnsi"/>
                <w:color w:val="000000"/>
                <w:sz w:val="18"/>
                <w:szCs w:val="18"/>
              </w:rPr>
              <w:t>€ 21.476,41</w:t>
            </w:r>
          </w:p>
        </w:tc>
        <w:tc>
          <w:tcPr>
            <w:tcW w:w="939" w:type="pct"/>
          </w:tcPr>
          <w:p>
            <w:pPr>
              <w:jc w:val="right"/>
              <w:rPr>
                <w:rFonts w:cstheme="minorHAnsi"/>
                <w:color w:val="000000"/>
                <w:sz w:val="18"/>
                <w:szCs w:val="18"/>
              </w:rPr>
            </w:pPr>
            <w:r>
              <w:rPr>
                <w:rFonts w:cstheme="minorHAnsi"/>
                <w:color w:val="000000"/>
                <w:sz w:val="18"/>
                <w:szCs w:val="18"/>
              </w:rPr>
              <w:t>€ 29.573,97</w:t>
            </w:r>
          </w:p>
        </w:tc>
      </w:tr>
      <w:tr>
        <w:tc>
          <w:tcPr>
            <w:tcW w:w="786" w:type="pct"/>
            <w:shd w:val="clear" w:color="auto" w:fill="auto"/>
          </w:tcPr>
          <w:p>
            <w:pPr>
              <w:jc w:val="both"/>
              <w:rPr>
                <w:rFonts w:cstheme="minorHAnsi"/>
                <w:color w:val="000000"/>
                <w:sz w:val="18"/>
                <w:szCs w:val="18"/>
              </w:rPr>
            </w:pPr>
            <w:r>
              <w:rPr>
                <w:rFonts w:cstheme="minorHAnsi"/>
                <w:color w:val="000000"/>
                <w:sz w:val="18"/>
                <w:szCs w:val="18"/>
              </w:rPr>
              <w:t>Categoria 11</w:t>
            </w:r>
          </w:p>
        </w:tc>
        <w:tc>
          <w:tcPr>
            <w:tcW w:w="2468" w:type="pct"/>
            <w:shd w:val="clear" w:color="auto" w:fill="auto"/>
          </w:tcPr>
          <w:p>
            <w:pPr>
              <w:jc w:val="both"/>
              <w:rPr>
                <w:rFonts w:cstheme="minorHAnsi"/>
                <w:color w:val="000000"/>
                <w:sz w:val="18"/>
                <w:szCs w:val="18"/>
              </w:rPr>
            </w:pPr>
            <w:r>
              <w:rPr>
                <w:rFonts w:cstheme="minorHAnsi"/>
                <w:color w:val="000000"/>
                <w:sz w:val="18"/>
                <w:szCs w:val="18"/>
              </w:rPr>
              <w:t>Spese postali telefoniche e telegrafiche</w:t>
            </w:r>
          </w:p>
        </w:tc>
        <w:tc>
          <w:tcPr>
            <w:tcW w:w="807" w:type="pct"/>
          </w:tcPr>
          <w:p>
            <w:pPr>
              <w:jc w:val="right"/>
              <w:rPr>
                <w:rFonts w:cstheme="minorHAnsi"/>
                <w:color w:val="000000"/>
                <w:sz w:val="18"/>
                <w:szCs w:val="18"/>
              </w:rPr>
            </w:pPr>
            <w:r>
              <w:rPr>
                <w:rFonts w:cstheme="minorHAnsi"/>
                <w:color w:val="000000"/>
                <w:sz w:val="18"/>
                <w:szCs w:val="18"/>
              </w:rPr>
              <w:t>€ 3.215,14</w:t>
            </w:r>
          </w:p>
        </w:tc>
        <w:tc>
          <w:tcPr>
            <w:tcW w:w="939" w:type="pct"/>
          </w:tcPr>
          <w:p>
            <w:pPr>
              <w:jc w:val="right"/>
              <w:rPr>
                <w:rFonts w:cstheme="minorHAnsi"/>
                <w:color w:val="000000"/>
                <w:sz w:val="18"/>
                <w:szCs w:val="18"/>
              </w:rPr>
            </w:pPr>
            <w:r>
              <w:rPr>
                <w:rFonts w:cstheme="minorHAnsi"/>
                <w:color w:val="000000"/>
                <w:sz w:val="18"/>
                <w:szCs w:val="18"/>
              </w:rPr>
              <w:t>€ 5.777,85</w:t>
            </w:r>
          </w:p>
        </w:tc>
      </w:tr>
      <w:tr>
        <w:tc>
          <w:tcPr>
            <w:tcW w:w="786" w:type="pct"/>
            <w:shd w:val="clear" w:color="auto" w:fill="auto"/>
          </w:tcPr>
          <w:p>
            <w:pPr>
              <w:jc w:val="both"/>
              <w:rPr>
                <w:rFonts w:cstheme="minorHAnsi"/>
                <w:color w:val="000000"/>
                <w:sz w:val="18"/>
                <w:szCs w:val="18"/>
              </w:rPr>
            </w:pPr>
            <w:r>
              <w:rPr>
                <w:rFonts w:cstheme="minorHAnsi"/>
                <w:color w:val="000000"/>
                <w:sz w:val="18"/>
                <w:szCs w:val="18"/>
              </w:rPr>
              <w:t>Categoria 12</w:t>
            </w:r>
          </w:p>
        </w:tc>
        <w:tc>
          <w:tcPr>
            <w:tcW w:w="2468" w:type="pct"/>
            <w:shd w:val="clear" w:color="auto" w:fill="auto"/>
          </w:tcPr>
          <w:p>
            <w:pPr>
              <w:jc w:val="both"/>
              <w:rPr>
                <w:rFonts w:cstheme="minorHAnsi"/>
                <w:color w:val="000000"/>
                <w:sz w:val="18"/>
                <w:szCs w:val="18"/>
              </w:rPr>
            </w:pPr>
            <w:r>
              <w:rPr>
                <w:rFonts w:cstheme="minorHAnsi"/>
                <w:color w:val="000000"/>
                <w:sz w:val="18"/>
                <w:szCs w:val="18"/>
              </w:rPr>
              <w:t>Oneri tributari</w:t>
            </w:r>
          </w:p>
        </w:tc>
        <w:tc>
          <w:tcPr>
            <w:tcW w:w="807" w:type="pct"/>
          </w:tcPr>
          <w:p>
            <w:pPr>
              <w:jc w:val="right"/>
              <w:rPr>
                <w:rFonts w:cstheme="minorHAnsi"/>
                <w:color w:val="000000"/>
                <w:sz w:val="18"/>
                <w:szCs w:val="18"/>
              </w:rPr>
            </w:pPr>
            <w:r>
              <w:rPr>
                <w:rFonts w:cstheme="minorHAnsi"/>
                <w:color w:val="000000"/>
                <w:sz w:val="18"/>
                <w:szCs w:val="18"/>
              </w:rPr>
              <w:t>€ 10.204,15</w:t>
            </w:r>
          </w:p>
        </w:tc>
        <w:tc>
          <w:tcPr>
            <w:tcW w:w="939" w:type="pct"/>
          </w:tcPr>
          <w:p>
            <w:pPr>
              <w:jc w:val="right"/>
              <w:rPr>
                <w:rFonts w:cstheme="minorHAnsi"/>
                <w:color w:val="000000"/>
                <w:sz w:val="18"/>
                <w:szCs w:val="18"/>
              </w:rPr>
            </w:pPr>
            <w:r>
              <w:rPr>
                <w:rFonts w:cstheme="minorHAnsi"/>
                <w:color w:val="000000"/>
                <w:sz w:val="18"/>
                <w:szCs w:val="18"/>
              </w:rPr>
              <w:t>€ 6.514,36</w:t>
            </w:r>
          </w:p>
        </w:tc>
      </w:tr>
      <w:tr>
        <w:tc>
          <w:tcPr>
            <w:tcW w:w="786" w:type="pct"/>
            <w:shd w:val="clear" w:color="auto" w:fill="auto"/>
          </w:tcPr>
          <w:p>
            <w:pPr>
              <w:jc w:val="both"/>
              <w:rPr>
                <w:rFonts w:cstheme="minorHAnsi"/>
                <w:color w:val="000000"/>
                <w:sz w:val="18"/>
                <w:szCs w:val="18"/>
              </w:rPr>
            </w:pPr>
            <w:r>
              <w:rPr>
                <w:rFonts w:cstheme="minorHAnsi"/>
                <w:color w:val="000000"/>
                <w:sz w:val="18"/>
                <w:szCs w:val="18"/>
              </w:rPr>
              <w:t>Categoria 13</w:t>
            </w:r>
          </w:p>
        </w:tc>
        <w:tc>
          <w:tcPr>
            <w:tcW w:w="2468" w:type="pct"/>
            <w:shd w:val="clear" w:color="auto" w:fill="auto"/>
          </w:tcPr>
          <w:p>
            <w:pPr>
              <w:jc w:val="both"/>
              <w:rPr>
                <w:rFonts w:cstheme="minorHAnsi"/>
                <w:color w:val="000000"/>
                <w:sz w:val="18"/>
                <w:szCs w:val="18"/>
              </w:rPr>
            </w:pPr>
            <w:r>
              <w:rPr>
                <w:rFonts w:cstheme="minorHAnsi"/>
                <w:color w:val="000000"/>
                <w:sz w:val="18"/>
                <w:szCs w:val="18"/>
              </w:rPr>
              <w:t>Oneri finanziari</w:t>
            </w:r>
          </w:p>
        </w:tc>
        <w:tc>
          <w:tcPr>
            <w:tcW w:w="807" w:type="pct"/>
          </w:tcPr>
          <w:p>
            <w:pPr>
              <w:jc w:val="right"/>
              <w:rPr>
                <w:rFonts w:cstheme="minorHAnsi"/>
                <w:color w:val="000000"/>
                <w:sz w:val="18"/>
                <w:szCs w:val="18"/>
              </w:rPr>
            </w:pPr>
            <w:r>
              <w:rPr>
                <w:rFonts w:cstheme="minorHAnsi"/>
                <w:color w:val="000000"/>
                <w:sz w:val="18"/>
                <w:szCs w:val="18"/>
              </w:rPr>
              <w:t>€ 1.118,25</w:t>
            </w:r>
          </w:p>
        </w:tc>
        <w:tc>
          <w:tcPr>
            <w:tcW w:w="939" w:type="pct"/>
          </w:tcPr>
          <w:p>
            <w:pPr>
              <w:jc w:val="right"/>
              <w:rPr>
                <w:rFonts w:cstheme="minorHAnsi"/>
                <w:color w:val="000000"/>
                <w:sz w:val="18"/>
                <w:szCs w:val="18"/>
              </w:rPr>
            </w:pPr>
            <w:r>
              <w:rPr>
                <w:rFonts w:cstheme="minorHAnsi"/>
                <w:color w:val="000000"/>
                <w:sz w:val="18"/>
                <w:szCs w:val="18"/>
              </w:rPr>
              <w:t>€ 1.034,99</w:t>
            </w:r>
          </w:p>
        </w:tc>
      </w:tr>
      <w:tr>
        <w:tc>
          <w:tcPr>
            <w:tcW w:w="786" w:type="pct"/>
            <w:shd w:val="clear" w:color="auto" w:fill="auto"/>
          </w:tcPr>
          <w:p>
            <w:pPr>
              <w:jc w:val="both"/>
              <w:rPr>
                <w:rFonts w:cstheme="minorHAnsi"/>
                <w:color w:val="000000"/>
                <w:sz w:val="18"/>
                <w:szCs w:val="18"/>
              </w:rPr>
            </w:pPr>
            <w:r>
              <w:rPr>
                <w:rFonts w:cstheme="minorHAnsi"/>
                <w:color w:val="000000"/>
                <w:sz w:val="18"/>
                <w:szCs w:val="18"/>
              </w:rPr>
              <w:t>Categoria 14</w:t>
            </w:r>
          </w:p>
        </w:tc>
        <w:tc>
          <w:tcPr>
            <w:tcW w:w="2468" w:type="pct"/>
            <w:shd w:val="clear" w:color="auto" w:fill="auto"/>
          </w:tcPr>
          <w:p>
            <w:pPr>
              <w:jc w:val="both"/>
              <w:rPr>
                <w:rFonts w:cstheme="minorHAnsi"/>
                <w:color w:val="000000"/>
                <w:sz w:val="18"/>
                <w:szCs w:val="18"/>
              </w:rPr>
            </w:pPr>
            <w:r>
              <w:rPr>
                <w:rFonts w:cstheme="minorHAnsi"/>
                <w:color w:val="000000"/>
                <w:sz w:val="18"/>
                <w:szCs w:val="18"/>
              </w:rPr>
              <w:t>Poste correttive e compensative entrate correnti</w:t>
            </w:r>
          </w:p>
        </w:tc>
        <w:tc>
          <w:tcPr>
            <w:tcW w:w="807" w:type="pct"/>
          </w:tcPr>
          <w:p>
            <w:pPr>
              <w:jc w:val="right"/>
              <w:rPr>
                <w:rFonts w:cstheme="minorHAnsi"/>
                <w:color w:val="000000"/>
                <w:sz w:val="18"/>
                <w:szCs w:val="18"/>
              </w:rPr>
            </w:pPr>
            <w:r>
              <w:rPr>
                <w:rFonts w:cstheme="minorHAnsi"/>
                <w:color w:val="000000"/>
                <w:sz w:val="18"/>
                <w:szCs w:val="18"/>
              </w:rPr>
              <w:t>€ 98.939,26</w:t>
            </w:r>
          </w:p>
        </w:tc>
        <w:tc>
          <w:tcPr>
            <w:tcW w:w="939" w:type="pct"/>
          </w:tcPr>
          <w:p>
            <w:pPr>
              <w:jc w:val="right"/>
              <w:rPr>
                <w:rFonts w:cstheme="minorHAnsi"/>
                <w:color w:val="000000"/>
                <w:sz w:val="18"/>
                <w:szCs w:val="18"/>
              </w:rPr>
            </w:pPr>
            <w:r>
              <w:rPr>
                <w:rFonts w:cstheme="minorHAnsi"/>
                <w:color w:val="000000"/>
                <w:sz w:val="18"/>
                <w:szCs w:val="18"/>
              </w:rPr>
              <w:t>€ 104.328,90</w:t>
            </w:r>
          </w:p>
        </w:tc>
      </w:tr>
      <w:tr>
        <w:tc>
          <w:tcPr>
            <w:tcW w:w="786" w:type="pct"/>
            <w:shd w:val="clear" w:color="auto" w:fill="auto"/>
          </w:tcPr>
          <w:p>
            <w:pPr>
              <w:jc w:val="both"/>
              <w:rPr>
                <w:rFonts w:cstheme="minorHAnsi"/>
                <w:color w:val="000000"/>
                <w:sz w:val="18"/>
                <w:szCs w:val="18"/>
              </w:rPr>
            </w:pPr>
            <w:r>
              <w:rPr>
                <w:rFonts w:cstheme="minorHAnsi"/>
                <w:color w:val="000000"/>
                <w:sz w:val="18"/>
                <w:szCs w:val="18"/>
              </w:rPr>
              <w:lastRenderedPageBreak/>
              <w:t>Categoria 15</w:t>
            </w:r>
          </w:p>
        </w:tc>
        <w:tc>
          <w:tcPr>
            <w:tcW w:w="2468" w:type="pct"/>
            <w:shd w:val="clear" w:color="auto" w:fill="auto"/>
          </w:tcPr>
          <w:p>
            <w:pPr>
              <w:jc w:val="both"/>
              <w:rPr>
                <w:rFonts w:cstheme="minorHAnsi"/>
                <w:color w:val="000000"/>
                <w:sz w:val="18"/>
                <w:szCs w:val="18"/>
              </w:rPr>
            </w:pPr>
            <w:r>
              <w:rPr>
                <w:rFonts w:cstheme="minorHAnsi"/>
                <w:color w:val="000000"/>
                <w:sz w:val="18"/>
                <w:szCs w:val="18"/>
              </w:rPr>
              <w:t>Spese non classificabili in altre voci</w:t>
            </w:r>
          </w:p>
        </w:tc>
        <w:tc>
          <w:tcPr>
            <w:tcW w:w="807" w:type="pct"/>
          </w:tcPr>
          <w:p>
            <w:pPr>
              <w:jc w:val="right"/>
              <w:rPr>
                <w:rFonts w:cstheme="minorHAnsi"/>
                <w:color w:val="000000"/>
                <w:sz w:val="18"/>
                <w:szCs w:val="18"/>
              </w:rPr>
            </w:pPr>
            <w:r>
              <w:rPr>
                <w:rFonts w:cstheme="minorHAnsi"/>
                <w:color w:val="000000"/>
                <w:sz w:val="18"/>
                <w:szCs w:val="18"/>
              </w:rPr>
              <w:t>€ 0,00</w:t>
            </w:r>
          </w:p>
        </w:tc>
        <w:tc>
          <w:tcPr>
            <w:tcW w:w="939" w:type="pct"/>
          </w:tcPr>
          <w:p>
            <w:pPr>
              <w:jc w:val="right"/>
              <w:rPr>
                <w:rFonts w:cstheme="minorHAnsi"/>
                <w:color w:val="000000"/>
                <w:sz w:val="18"/>
                <w:szCs w:val="18"/>
              </w:rPr>
            </w:pPr>
            <w:r>
              <w:rPr>
                <w:rFonts w:cstheme="minorHAnsi"/>
                <w:color w:val="000000"/>
                <w:sz w:val="18"/>
                <w:szCs w:val="18"/>
              </w:rPr>
              <w:t>€ 0,00</w:t>
            </w:r>
          </w:p>
        </w:tc>
      </w:tr>
      <w:tr>
        <w:tc>
          <w:tcPr>
            <w:tcW w:w="786" w:type="pct"/>
            <w:shd w:val="clear" w:color="auto" w:fill="auto"/>
          </w:tcPr>
          <w:p>
            <w:pPr>
              <w:jc w:val="both"/>
              <w:rPr>
                <w:rFonts w:cstheme="minorHAnsi"/>
                <w:color w:val="000000"/>
                <w:sz w:val="18"/>
                <w:szCs w:val="18"/>
              </w:rPr>
            </w:pPr>
            <w:r>
              <w:rPr>
                <w:rFonts w:cstheme="minorHAnsi"/>
                <w:color w:val="000000"/>
                <w:sz w:val="18"/>
                <w:szCs w:val="18"/>
              </w:rPr>
              <w:t>Categoria 16</w:t>
            </w:r>
          </w:p>
        </w:tc>
        <w:tc>
          <w:tcPr>
            <w:tcW w:w="2468" w:type="pct"/>
            <w:shd w:val="clear" w:color="auto" w:fill="auto"/>
          </w:tcPr>
          <w:p>
            <w:pPr>
              <w:jc w:val="both"/>
              <w:rPr>
                <w:rFonts w:cstheme="minorHAnsi"/>
                <w:color w:val="000000"/>
                <w:sz w:val="18"/>
                <w:szCs w:val="18"/>
              </w:rPr>
            </w:pPr>
            <w:r>
              <w:rPr>
                <w:rFonts w:cstheme="minorHAnsi"/>
                <w:color w:val="000000"/>
                <w:sz w:val="18"/>
                <w:szCs w:val="18"/>
              </w:rPr>
              <w:t>Fondo di riserva per stanziamenti insufficienti</w:t>
            </w:r>
          </w:p>
        </w:tc>
        <w:tc>
          <w:tcPr>
            <w:tcW w:w="807" w:type="pct"/>
          </w:tcPr>
          <w:p>
            <w:pPr>
              <w:jc w:val="right"/>
              <w:rPr>
                <w:rFonts w:cstheme="minorHAnsi"/>
                <w:color w:val="000000"/>
                <w:sz w:val="18"/>
                <w:szCs w:val="18"/>
              </w:rPr>
            </w:pPr>
            <w:r>
              <w:rPr>
                <w:rFonts w:cstheme="minorHAnsi"/>
                <w:color w:val="000000"/>
                <w:sz w:val="18"/>
                <w:szCs w:val="18"/>
              </w:rPr>
              <w:t>€ 0,00</w:t>
            </w:r>
          </w:p>
        </w:tc>
        <w:tc>
          <w:tcPr>
            <w:tcW w:w="939" w:type="pct"/>
          </w:tcPr>
          <w:p>
            <w:pPr>
              <w:jc w:val="right"/>
              <w:rPr>
                <w:rFonts w:cstheme="minorHAnsi"/>
                <w:color w:val="000000"/>
                <w:sz w:val="18"/>
                <w:szCs w:val="18"/>
              </w:rPr>
            </w:pPr>
            <w:r>
              <w:rPr>
                <w:rFonts w:cstheme="minorHAnsi"/>
                <w:color w:val="000000"/>
                <w:sz w:val="18"/>
                <w:szCs w:val="18"/>
              </w:rPr>
              <w:t>€ 0,00</w:t>
            </w:r>
          </w:p>
        </w:tc>
      </w:tr>
      <w:tr>
        <w:tc>
          <w:tcPr>
            <w:tcW w:w="786" w:type="pct"/>
            <w:shd w:val="clear" w:color="auto" w:fill="auto"/>
          </w:tcPr>
          <w:p>
            <w:pPr>
              <w:jc w:val="both"/>
              <w:rPr>
                <w:rFonts w:cstheme="minorHAnsi"/>
                <w:color w:val="000000"/>
                <w:sz w:val="18"/>
                <w:szCs w:val="18"/>
              </w:rPr>
            </w:pPr>
          </w:p>
        </w:tc>
        <w:tc>
          <w:tcPr>
            <w:tcW w:w="2468" w:type="pct"/>
            <w:shd w:val="clear" w:color="auto" w:fill="auto"/>
          </w:tcPr>
          <w:p>
            <w:pPr>
              <w:jc w:val="both"/>
              <w:rPr>
                <w:rFonts w:cstheme="minorHAnsi"/>
                <w:color w:val="000000"/>
                <w:sz w:val="18"/>
                <w:szCs w:val="18"/>
              </w:rPr>
            </w:pPr>
          </w:p>
        </w:tc>
        <w:tc>
          <w:tcPr>
            <w:tcW w:w="807" w:type="pct"/>
          </w:tcPr>
          <w:p>
            <w:pPr>
              <w:jc w:val="both"/>
              <w:rPr>
                <w:rFonts w:cstheme="minorHAnsi"/>
                <w:color w:val="000000"/>
                <w:sz w:val="18"/>
                <w:szCs w:val="18"/>
              </w:rPr>
            </w:pPr>
          </w:p>
        </w:tc>
        <w:tc>
          <w:tcPr>
            <w:tcW w:w="939" w:type="pct"/>
          </w:tcPr>
          <w:p>
            <w:pPr>
              <w:jc w:val="both"/>
              <w:rPr>
                <w:rFonts w:cstheme="minorHAnsi"/>
                <w:color w:val="000000"/>
                <w:sz w:val="18"/>
                <w:szCs w:val="18"/>
              </w:rPr>
            </w:pPr>
          </w:p>
        </w:tc>
      </w:tr>
      <w:tr>
        <w:tc>
          <w:tcPr>
            <w:tcW w:w="786" w:type="pct"/>
            <w:shd w:val="clear" w:color="auto" w:fill="auto"/>
          </w:tcPr>
          <w:p>
            <w:pPr>
              <w:jc w:val="both"/>
              <w:rPr>
                <w:rFonts w:cstheme="minorHAnsi"/>
                <w:color w:val="000000"/>
                <w:sz w:val="18"/>
                <w:szCs w:val="18"/>
              </w:rPr>
            </w:pPr>
          </w:p>
        </w:tc>
        <w:tc>
          <w:tcPr>
            <w:tcW w:w="2468" w:type="pct"/>
            <w:shd w:val="clear" w:color="auto" w:fill="auto"/>
          </w:tcPr>
          <w:p>
            <w:pPr>
              <w:jc w:val="both"/>
              <w:rPr>
                <w:rFonts w:cstheme="minorHAnsi"/>
                <w:color w:val="000000"/>
                <w:sz w:val="18"/>
                <w:szCs w:val="18"/>
              </w:rPr>
            </w:pPr>
            <w:r>
              <w:rPr>
                <w:rFonts w:cstheme="minorHAnsi"/>
                <w:color w:val="000000"/>
                <w:sz w:val="18"/>
                <w:szCs w:val="18"/>
              </w:rPr>
              <w:t>TITOLO II – SPESE IN CONTO CAPITALE</w:t>
            </w:r>
          </w:p>
        </w:tc>
        <w:tc>
          <w:tcPr>
            <w:tcW w:w="807" w:type="pct"/>
          </w:tcPr>
          <w:p>
            <w:pPr>
              <w:jc w:val="right"/>
              <w:rPr>
                <w:rFonts w:cstheme="minorHAnsi"/>
                <w:color w:val="000000"/>
                <w:sz w:val="18"/>
                <w:szCs w:val="18"/>
              </w:rPr>
            </w:pPr>
          </w:p>
        </w:tc>
        <w:tc>
          <w:tcPr>
            <w:tcW w:w="939" w:type="pct"/>
          </w:tcPr>
          <w:p>
            <w:pPr>
              <w:jc w:val="right"/>
              <w:rPr>
                <w:rFonts w:cstheme="minorHAnsi"/>
                <w:color w:val="000000"/>
                <w:sz w:val="18"/>
                <w:szCs w:val="18"/>
              </w:rPr>
            </w:pPr>
          </w:p>
        </w:tc>
      </w:tr>
      <w:tr>
        <w:tc>
          <w:tcPr>
            <w:tcW w:w="786" w:type="pct"/>
            <w:shd w:val="clear" w:color="auto" w:fill="auto"/>
          </w:tcPr>
          <w:p>
            <w:pPr>
              <w:jc w:val="both"/>
              <w:rPr>
                <w:rFonts w:cstheme="minorHAnsi"/>
                <w:color w:val="000000"/>
                <w:sz w:val="18"/>
                <w:szCs w:val="18"/>
              </w:rPr>
            </w:pPr>
            <w:r>
              <w:rPr>
                <w:rFonts w:cstheme="minorHAnsi"/>
                <w:color w:val="000000"/>
                <w:sz w:val="18"/>
                <w:szCs w:val="18"/>
              </w:rPr>
              <w:t>U-2-01</w:t>
            </w:r>
          </w:p>
        </w:tc>
        <w:tc>
          <w:tcPr>
            <w:tcW w:w="2468" w:type="pct"/>
            <w:shd w:val="clear" w:color="auto" w:fill="auto"/>
          </w:tcPr>
          <w:p>
            <w:pPr>
              <w:jc w:val="both"/>
              <w:rPr>
                <w:rFonts w:cstheme="minorHAnsi"/>
                <w:color w:val="000000"/>
                <w:sz w:val="18"/>
                <w:szCs w:val="18"/>
              </w:rPr>
            </w:pPr>
            <w:r>
              <w:rPr>
                <w:rFonts w:cstheme="minorHAnsi"/>
                <w:color w:val="000000"/>
                <w:sz w:val="18"/>
                <w:szCs w:val="18"/>
              </w:rPr>
              <w:t>Spese beni patrimoniali</w:t>
            </w:r>
          </w:p>
        </w:tc>
        <w:tc>
          <w:tcPr>
            <w:tcW w:w="807" w:type="pct"/>
          </w:tcPr>
          <w:p>
            <w:pPr>
              <w:jc w:val="right"/>
              <w:rPr>
                <w:rFonts w:cstheme="minorHAnsi"/>
                <w:color w:val="000000"/>
                <w:sz w:val="18"/>
                <w:szCs w:val="18"/>
              </w:rPr>
            </w:pPr>
            <w:r>
              <w:rPr>
                <w:rFonts w:cstheme="minorHAnsi"/>
                <w:color w:val="000000"/>
                <w:sz w:val="18"/>
                <w:szCs w:val="18"/>
              </w:rPr>
              <w:t>€ 0,00</w:t>
            </w:r>
          </w:p>
        </w:tc>
        <w:tc>
          <w:tcPr>
            <w:tcW w:w="939" w:type="pct"/>
          </w:tcPr>
          <w:p>
            <w:pPr>
              <w:jc w:val="right"/>
              <w:rPr>
                <w:rFonts w:cstheme="minorHAnsi"/>
                <w:color w:val="000000"/>
                <w:sz w:val="18"/>
                <w:szCs w:val="18"/>
              </w:rPr>
            </w:pPr>
            <w:r>
              <w:rPr>
                <w:rFonts w:cstheme="minorHAnsi"/>
                <w:color w:val="000000"/>
                <w:sz w:val="18"/>
                <w:szCs w:val="18"/>
              </w:rPr>
              <w:t>€ 138.672,96</w:t>
            </w:r>
          </w:p>
        </w:tc>
      </w:tr>
      <w:tr>
        <w:tc>
          <w:tcPr>
            <w:tcW w:w="786" w:type="pct"/>
            <w:shd w:val="clear" w:color="auto" w:fill="auto"/>
          </w:tcPr>
          <w:p>
            <w:pPr>
              <w:jc w:val="both"/>
              <w:rPr>
                <w:rFonts w:cstheme="minorHAnsi"/>
                <w:color w:val="000000"/>
                <w:sz w:val="18"/>
                <w:szCs w:val="18"/>
              </w:rPr>
            </w:pPr>
            <w:r>
              <w:rPr>
                <w:rFonts w:cstheme="minorHAnsi"/>
                <w:color w:val="000000"/>
                <w:sz w:val="18"/>
                <w:szCs w:val="18"/>
              </w:rPr>
              <w:t>U-2-02</w:t>
            </w:r>
          </w:p>
        </w:tc>
        <w:tc>
          <w:tcPr>
            <w:tcW w:w="2468" w:type="pct"/>
            <w:shd w:val="clear" w:color="auto" w:fill="auto"/>
          </w:tcPr>
          <w:p>
            <w:pPr>
              <w:jc w:val="both"/>
              <w:rPr>
                <w:rFonts w:cstheme="minorHAnsi"/>
                <w:color w:val="000000"/>
                <w:sz w:val="18"/>
                <w:szCs w:val="18"/>
              </w:rPr>
            </w:pPr>
            <w:r>
              <w:rPr>
                <w:rFonts w:cstheme="minorHAnsi"/>
                <w:color w:val="000000"/>
                <w:sz w:val="18"/>
                <w:szCs w:val="18"/>
              </w:rPr>
              <w:t>Spese per immobilizzazioni tecniche</w:t>
            </w:r>
          </w:p>
        </w:tc>
        <w:tc>
          <w:tcPr>
            <w:tcW w:w="807" w:type="pct"/>
          </w:tcPr>
          <w:p>
            <w:pPr>
              <w:jc w:val="right"/>
              <w:rPr>
                <w:rFonts w:cstheme="minorHAnsi"/>
                <w:color w:val="000000"/>
                <w:sz w:val="18"/>
                <w:szCs w:val="18"/>
              </w:rPr>
            </w:pPr>
            <w:r>
              <w:rPr>
                <w:rFonts w:cstheme="minorHAnsi"/>
                <w:color w:val="000000"/>
                <w:sz w:val="18"/>
                <w:szCs w:val="18"/>
              </w:rPr>
              <w:t>€ 658,80</w:t>
            </w:r>
          </w:p>
        </w:tc>
        <w:tc>
          <w:tcPr>
            <w:tcW w:w="939" w:type="pct"/>
          </w:tcPr>
          <w:p>
            <w:pPr>
              <w:jc w:val="right"/>
              <w:rPr>
                <w:rFonts w:cstheme="minorHAnsi"/>
                <w:color w:val="000000"/>
                <w:sz w:val="18"/>
                <w:szCs w:val="18"/>
              </w:rPr>
            </w:pPr>
            <w:r>
              <w:rPr>
                <w:rFonts w:cstheme="minorHAnsi"/>
                <w:color w:val="000000"/>
                <w:sz w:val="18"/>
                <w:szCs w:val="18"/>
              </w:rPr>
              <w:t>€ 755,18</w:t>
            </w:r>
          </w:p>
        </w:tc>
      </w:tr>
      <w:tr>
        <w:tc>
          <w:tcPr>
            <w:tcW w:w="786" w:type="pct"/>
            <w:shd w:val="clear" w:color="auto" w:fill="auto"/>
          </w:tcPr>
          <w:p>
            <w:pPr>
              <w:jc w:val="both"/>
              <w:rPr>
                <w:rFonts w:cstheme="minorHAnsi"/>
                <w:color w:val="000000"/>
                <w:sz w:val="18"/>
                <w:szCs w:val="18"/>
              </w:rPr>
            </w:pPr>
            <w:r>
              <w:rPr>
                <w:rFonts w:cstheme="minorHAnsi"/>
                <w:color w:val="000000"/>
                <w:sz w:val="18"/>
                <w:szCs w:val="18"/>
              </w:rPr>
              <w:t>U-2-03</w:t>
            </w:r>
          </w:p>
        </w:tc>
        <w:tc>
          <w:tcPr>
            <w:tcW w:w="2468" w:type="pct"/>
            <w:shd w:val="clear" w:color="auto" w:fill="auto"/>
          </w:tcPr>
          <w:p>
            <w:pPr>
              <w:jc w:val="both"/>
              <w:rPr>
                <w:rFonts w:cstheme="minorHAnsi"/>
                <w:color w:val="000000"/>
                <w:sz w:val="18"/>
                <w:szCs w:val="18"/>
              </w:rPr>
            </w:pPr>
            <w:r>
              <w:rPr>
                <w:rFonts w:cstheme="minorHAnsi"/>
                <w:color w:val="000000"/>
                <w:sz w:val="18"/>
                <w:szCs w:val="18"/>
              </w:rPr>
              <w:t>Accantonamento indennità anzianità e similari (2016: €. 34.283,01 era il conteggio dell’accantonamento anzianità della nuova assunta, per mobilità, dall’Ordine degli avvocati, del nostro Consulente.</w:t>
            </w:r>
          </w:p>
        </w:tc>
        <w:tc>
          <w:tcPr>
            <w:tcW w:w="807" w:type="pct"/>
          </w:tcPr>
          <w:p>
            <w:pPr>
              <w:jc w:val="right"/>
              <w:rPr>
                <w:rFonts w:cstheme="minorHAnsi"/>
                <w:color w:val="000000"/>
                <w:sz w:val="18"/>
                <w:szCs w:val="18"/>
              </w:rPr>
            </w:pPr>
            <w:r>
              <w:rPr>
                <w:rFonts w:cstheme="minorHAnsi"/>
                <w:color w:val="000000"/>
                <w:sz w:val="18"/>
                <w:szCs w:val="18"/>
              </w:rPr>
              <w:t>€ 9.989,77</w:t>
            </w:r>
          </w:p>
        </w:tc>
        <w:tc>
          <w:tcPr>
            <w:tcW w:w="939" w:type="pct"/>
          </w:tcPr>
          <w:p>
            <w:pPr>
              <w:jc w:val="right"/>
              <w:rPr>
                <w:rFonts w:cstheme="minorHAnsi"/>
                <w:color w:val="000000"/>
                <w:sz w:val="18"/>
                <w:szCs w:val="18"/>
              </w:rPr>
            </w:pPr>
            <w:r>
              <w:rPr>
                <w:rFonts w:cstheme="minorHAnsi"/>
                <w:color w:val="000000"/>
                <w:sz w:val="18"/>
                <w:szCs w:val="18"/>
              </w:rPr>
              <w:t>€ 9.989,77</w:t>
            </w:r>
          </w:p>
        </w:tc>
      </w:tr>
      <w:tr>
        <w:tc>
          <w:tcPr>
            <w:tcW w:w="786" w:type="pct"/>
            <w:shd w:val="clear" w:color="auto" w:fill="auto"/>
          </w:tcPr>
          <w:p>
            <w:pPr>
              <w:jc w:val="both"/>
              <w:rPr>
                <w:rFonts w:cstheme="minorHAnsi"/>
                <w:color w:val="000000"/>
                <w:sz w:val="18"/>
                <w:szCs w:val="18"/>
              </w:rPr>
            </w:pPr>
          </w:p>
        </w:tc>
        <w:tc>
          <w:tcPr>
            <w:tcW w:w="2468" w:type="pct"/>
            <w:shd w:val="clear" w:color="auto" w:fill="auto"/>
          </w:tcPr>
          <w:p>
            <w:pPr>
              <w:jc w:val="both"/>
              <w:rPr>
                <w:rFonts w:cstheme="minorHAnsi"/>
                <w:color w:val="000000"/>
                <w:sz w:val="18"/>
                <w:szCs w:val="18"/>
              </w:rPr>
            </w:pPr>
          </w:p>
        </w:tc>
        <w:tc>
          <w:tcPr>
            <w:tcW w:w="807" w:type="pct"/>
          </w:tcPr>
          <w:p>
            <w:pPr>
              <w:jc w:val="right"/>
              <w:rPr>
                <w:rFonts w:cstheme="minorHAnsi"/>
                <w:color w:val="000000"/>
                <w:sz w:val="18"/>
                <w:szCs w:val="18"/>
              </w:rPr>
            </w:pPr>
          </w:p>
        </w:tc>
        <w:tc>
          <w:tcPr>
            <w:tcW w:w="939" w:type="pct"/>
          </w:tcPr>
          <w:p>
            <w:pPr>
              <w:jc w:val="right"/>
              <w:rPr>
                <w:rFonts w:cstheme="minorHAnsi"/>
                <w:color w:val="000000"/>
                <w:sz w:val="18"/>
                <w:szCs w:val="18"/>
              </w:rPr>
            </w:pPr>
          </w:p>
        </w:tc>
      </w:tr>
      <w:tr>
        <w:tc>
          <w:tcPr>
            <w:tcW w:w="786" w:type="pct"/>
            <w:shd w:val="clear" w:color="auto" w:fill="auto"/>
          </w:tcPr>
          <w:p>
            <w:pPr>
              <w:jc w:val="both"/>
              <w:rPr>
                <w:rFonts w:cstheme="minorHAnsi"/>
                <w:color w:val="000000"/>
                <w:sz w:val="18"/>
                <w:szCs w:val="18"/>
              </w:rPr>
            </w:pPr>
          </w:p>
        </w:tc>
        <w:tc>
          <w:tcPr>
            <w:tcW w:w="2468" w:type="pct"/>
            <w:shd w:val="clear" w:color="auto" w:fill="auto"/>
          </w:tcPr>
          <w:p>
            <w:pPr>
              <w:jc w:val="both"/>
              <w:rPr>
                <w:rFonts w:cstheme="minorHAnsi"/>
                <w:color w:val="000000"/>
                <w:sz w:val="18"/>
                <w:szCs w:val="18"/>
              </w:rPr>
            </w:pPr>
            <w:r>
              <w:rPr>
                <w:rFonts w:cstheme="minorHAnsi"/>
                <w:color w:val="000000"/>
                <w:sz w:val="18"/>
                <w:szCs w:val="18"/>
              </w:rPr>
              <w:t>TITOLO III – PARTITE DI GIRO</w:t>
            </w:r>
          </w:p>
        </w:tc>
        <w:tc>
          <w:tcPr>
            <w:tcW w:w="807" w:type="pct"/>
          </w:tcPr>
          <w:p>
            <w:pPr>
              <w:jc w:val="right"/>
              <w:rPr>
                <w:rFonts w:cstheme="minorHAnsi"/>
                <w:color w:val="000000"/>
                <w:sz w:val="18"/>
                <w:szCs w:val="18"/>
              </w:rPr>
            </w:pPr>
            <w:r>
              <w:rPr>
                <w:rFonts w:cstheme="minorHAnsi"/>
                <w:color w:val="000000"/>
                <w:sz w:val="18"/>
                <w:szCs w:val="18"/>
              </w:rPr>
              <w:t>€ 163.605,07</w:t>
            </w:r>
          </w:p>
        </w:tc>
        <w:tc>
          <w:tcPr>
            <w:tcW w:w="939" w:type="pct"/>
          </w:tcPr>
          <w:p>
            <w:pPr>
              <w:jc w:val="right"/>
              <w:rPr>
                <w:rFonts w:cstheme="minorHAnsi"/>
                <w:color w:val="000000"/>
                <w:sz w:val="18"/>
                <w:szCs w:val="18"/>
              </w:rPr>
            </w:pPr>
            <w:r>
              <w:rPr>
                <w:rFonts w:cstheme="minorHAnsi"/>
                <w:color w:val="000000"/>
                <w:sz w:val="18"/>
                <w:szCs w:val="18"/>
              </w:rPr>
              <w:t>€ 183.308,41</w:t>
            </w:r>
          </w:p>
        </w:tc>
      </w:tr>
    </w:tbl>
    <w:p>
      <w:pPr>
        <w:ind w:left="360"/>
        <w:jc w:val="both"/>
      </w:pPr>
    </w:p>
    <w:p>
      <w:pPr>
        <w:pStyle w:val="Paragrafoelenco"/>
        <w:numPr>
          <w:ilvl w:val="0"/>
          <w:numId w:val="1"/>
        </w:numPr>
        <w:jc w:val="both"/>
        <w:rPr>
          <w:b/>
          <w:bCs/>
        </w:rPr>
      </w:pPr>
      <w:r>
        <w:rPr>
          <w:b/>
          <w:bCs/>
        </w:rPr>
        <w:t>Titolo I – Spese Correnti</w:t>
      </w:r>
    </w:p>
    <w:p>
      <w:pPr>
        <w:ind w:left="360"/>
        <w:jc w:val="both"/>
        <w:rPr>
          <w:u w:val="single"/>
        </w:rPr>
      </w:pPr>
      <w:r>
        <w:rPr>
          <w:u w:val="single"/>
        </w:rPr>
        <w:t>Categoria 4</w:t>
      </w:r>
      <w:r>
        <w:t xml:space="preserve"> – </w:t>
      </w:r>
      <w:r>
        <w:rPr>
          <w:rFonts w:cstheme="minorHAnsi"/>
          <w:color w:val="000000"/>
        </w:rPr>
        <w:t>Promozione culturale, convegni-congressi, assemblea manif.</w:t>
      </w:r>
    </w:p>
    <w:p>
      <w:pPr>
        <w:ind w:left="360"/>
        <w:jc w:val="both"/>
      </w:pPr>
      <w:r>
        <w:t>Di cui €. 81.375,00 per borse di studio agli iscritti</w:t>
      </w:r>
    </w:p>
    <w:p>
      <w:pPr>
        <w:ind w:left="360"/>
        <w:jc w:val="both"/>
      </w:pPr>
      <w:r>
        <w:rPr>
          <w:u w:val="single"/>
        </w:rPr>
        <w:t>Categoria 8</w:t>
      </w:r>
      <w:r>
        <w:t xml:space="preserve"> – Oneri e compensi</w:t>
      </w:r>
    </w:p>
    <w:p>
      <w:pPr>
        <w:ind w:left="360"/>
        <w:jc w:val="both"/>
      </w:pPr>
      <w:r>
        <w:t>Di cui €. 31.720,00 per collaborazioni varie (Ansa, giornalisti, ecc.)</w:t>
      </w:r>
    </w:p>
    <w:p>
      <w:pPr>
        <w:ind w:left="360"/>
        <w:jc w:val="both"/>
        <w:rPr>
          <w:rFonts w:cstheme="minorHAnsi"/>
          <w:color w:val="000000"/>
        </w:rPr>
      </w:pPr>
      <w:r>
        <w:rPr>
          <w:u w:val="single"/>
        </w:rPr>
        <w:t>Categoria 14</w:t>
      </w:r>
      <w:r>
        <w:t xml:space="preserve"> - </w:t>
      </w:r>
      <w:r>
        <w:rPr>
          <w:rFonts w:cstheme="minorHAnsi"/>
          <w:color w:val="000000"/>
        </w:rPr>
        <w:t>Poste correttive e compensative entrate correnti</w:t>
      </w:r>
    </w:p>
    <w:p>
      <w:pPr>
        <w:ind w:left="360"/>
        <w:jc w:val="both"/>
      </w:pPr>
      <w:r>
        <w:rPr>
          <w:rFonts w:cstheme="minorHAnsi"/>
          <w:color w:val="000000"/>
        </w:rPr>
        <w:t>Di cui €. 90.206,00 quote competenza FNOMCeO</w:t>
      </w:r>
    </w:p>
    <w:p>
      <w:pPr>
        <w:pStyle w:val="Paragrafoelenco"/>
        <w:ind w:left="360"/>
        <w:jc w:val="both"/>
        <w:rPr>
          <w:b/>
          <w:bCs/>
        </w:rPr>
      </w:pPr>
    </w:p>
    <w:p>
      <w:pPr>
        <w:pStyle w:val="Paragrafoelenco"/>
        <w:numPr>
          <w:ilvl w:val="0"/>
          <w:numId w:val="1"/>
        </w:numPr>
        <w:jc w:val="both"/>
        <w:rPr>
          <w:b/>
          <w:bCs/>
        </w:rPr>
      </w:pPr>
      <w:r>
        <w:rPr>
          <w:b/>
          <w:bCs/>
        </w:rPr>
        <w:t>Titolo II – Spese in Conto Capitale</w:t>
      </w:r>
    </w:p>
    <w:p>
      <w:pPr>
        <w:ind w:left="360"/>
        <w:jc w:val="both"/>
        <w:rPr>
          <w:u w:val="single"/>
        </w:rPr>
      </w:pPr>
      <w:r>
        <w:rPr>
          <w:u w:val="single"/>
        </w:rPr>
        <w:t>Categoria 1</w:t>
      </w:r>
      <w:r>
        <w:t xml:space="preserve"> – Spese beni patrimoniali</w:t>
      </w:r>
    </w:p>
    <w:p>
      <w:pPr>
        <w:ind w:left="360"/>
        <w:jc w:val="both"/>
      </w:pPr>
      <w:r>
        <w:t>Il totale di €. 138.672,96 si riferisce agli impegni assunti per i lavori di ristrutturazione e riqualificazione dei locali sede di proprietà e per i quali si ricorda, come già evidenziato a commento del preventivo 2021, l’Ordine beneficia del parziale ristoro grazie al contributo €. +119.004,01 che la FNOMCeO ha previsto di elargire a favore del nostro Ente.</w:t>
      </w:r>
    </w:p>
    <w:p>
      <w:pPr>
        <w:jc w:val="both"/>
      </w:pPr>
    </w:p>
    <w:p>
      <w:pPr>
        <w:jc w:val="center"/>
        <w:rPr>
          <w:b/>
          <w:bCs/>
        </w:rPr>
      </w:pPr>
      <w:r>
        <w:rPr>
          <w:b/>
          <w:bCs/>
        </w:rPr>
        <w:t>SITUAZIONE AMMINISTRATIVA</w:t>
      </w:r>
    </w:p>
    <w:p>
      <w:pPr>
        <w:jc w:val="both"/>
      </w:pPr>
      <w:r>
        <w:t xml:space="preserve">La Situazione Amministrativa evidenzia la formazione dell’avanzo/disavanzo di amministrazione dell’esercizio. </w:t>
      </w:r>
    </w:p>
    <w:p>
      <w:pPr>
        <w:jc w:val="both"/>
      </w:pPr>
      <w:r>
        <w:t xml:space="preserve">Alla consistenza di cassa iniziale si sommano le riscossioni, classificate “in conto competenza” e “in conto residui”, e si sottraggono i pagamenti, anch’essi distinti “in conto competenza” e “in conto residui”, per poi aggiungere i residui attivi e sottrarre quelli passivi. </w:t>
      </w:r>
    </w:p>
    <w:p>
      <w:pPr>
        <w:jc w:val="both"/>
      </w:pPr>
      <w:r>
        <w:t xml:space="preserve">Per entrambe le tipologie di residuo è effettuata la distinzione tra quelli formatisi negli esercizi precedenti e quelli nati nell’esercizio in corso. </w:t>
      </w:r>
    </w:p>
    <w:p>
      <w:pPr>
        <w:jc w:val="both"/>
      </w:pPr>
      <w:r>
        <w:lastRenderedPageBreak/>
        <w:t xml:space="preserve">Il risultato finale è, appunto, l’avanzo di amministrazione che al 31/12/2021 ammonta a €. 391.250,44 derivante dalla somma algebrica tra la consistenza di cassa alla fine dell’esercizio (pari a €. 1.005.373,81) ed il saldo della gestione dei residui (pari a €. -614.123,37). </w:t>
      </w:r>
    </w:p>
    <w:p>
      <w:pPr>
        <w:jc w:val="both"/>
        <w:rPr>
          <w:rFonts w:ascii="Calibri" w:eastAsia="Times New Roman" w:hAnsi="Calibri" w:cs="Times New Roman"/>
          <w:color w:val="000000"/>
          <w:lang w:eastAsia="it-IT"/>
        </w:rPr>
      </w:pPr>
      <w:r>
        <w:t xml:space="preserve">L’avanzo di amministrazione al 31/12/2021 registra un decremento di -€. </w:t>
      </w:r>
      <w:r>
        <w:rPr>
          <w:rFonts w:ascii="Calibri" w:eastAsia="Times New Roman" w:hAnsi="Calibri" w:cs="Times New Roman"/>
          <w:color w:val="000000"/>
          <w:lang w:eastAsia="it-IT"/>
        </w:rPr>
        <w:t xml:space="preserve">67.063,70 </w:t>
      </w:r>
      <w:r>
        <w:t xml:space="preserve">rispetto al precedente del 31/12/2020 che risultava essere di €. 458.314,14 determinato essenzialmente dai </w:t>
      </w:r>
      <w:proofErr w:type="gramStart"/>
      <w:r>
        <w:t>predetti</w:t>
      </w:r>
      <w:proofErr w:type="gramEnd"/>
      <w:r>
        <w:t xml:space="preserve"> impegni di spesa per la ristrutturazione e riqualificazione dei locali sede di proprietà.</w:t>
      </w:r>
    </w:p>
    <w:p>
      <w:pPr>
        <w:jc w:val="both"/>
      </w:pPr>
    </w:p>
    <w:p>
      <w:pPr>
        <w:jc w:val="center"/>
        <w:rPr>
          <w:b/>
          <w:bCs/>
        </w:rPr>
      </w:pPr>
      <w:r>
        <w:rPr>
          <w:b/>
          <w:bCs/>
        </w:rPr>
        <w:t>CONTO ECONOMICO e STATO PATRIMONIALE</w:t>
      </w:r>
    </w:p>
    <w:p>
      <w:pPr>
        <w:spacing w:after="0"/>
        <w:jc w:val="both"/>
        <w:rPr>
          <w:b/>
          <w:bCs/>
          <w:i/>
          <w:iCs/>
        </w:rPr>
      </w:pPr>
      <w:r>
        <w:rPr>
          <w:b/>
          <w:bCs/>
          <w:i/>
          <w:iCs/>
        </w:rPr>
        <w:t>Criteri di formazione</w:t>
      </w:r>
    </w:p>
    <w:p>
      <w:pPr>
        <w:spacing w:after="0"/>
        <w:jc w:val="both"/>
      </w:pPr>
      <w:r>
        <w:t xml:space="preserve">Il presente bilancio è stato redatto in forma abbreviata ai sensi degli artt. 32 e 33 del Regolamento di amministrazione e contabilità dell’Ordine. Si riportano qui di seguito le indicazioni di cui all’art. 2427 del cod. civ., secondo quanto inoltre previsto dall’art. 2435 bis (bilancio in forma abbreviata). Sono state inserite, quando ritenute necessarie, ulteriori informazioni aggiuntive rispetto ai punti obbligatori di cui all’art. 2435 bis. </w:t>
      </w:r>
    </w:p>
    <w:p>
      <w:pPr>
        <w:pStyle w:val="Paragrafoelenco"/>
        <w:numPr>
          <w:ilvl w:val="0"/>
          <w:numId w:val="7"/>
        </w:numPr>
        <w:spacing w:after="0"/>
        <w:jc w:val="both"/>
        <w:rPr>
          <w:b/>
          <w:bCs/>
        </w:rPr>
      </w:pPr>
      <w:r>
        <w:rPr>
          <w:b/>
          <w:bCs/>
        </w:rPr>
        <w:t xml:space="preserve">Criteri applicati nella valutazione delle voci del bilancio, nelle rettifiche di valore e nella conversione dei valori non espressi all'origine in moneta avente corso legale nello stato. </w:t>
      </w:r>
    </w:p>
    <w:p>
      <w:pPr>
        <w:spacing w:after="0"/>
        <w:ind w:left="360"/>
        <w:jc w:val="both"/>
      </w:pPr>
      <w:r>
        <w:t xml:space="preserve">I criteri utilizzati nella formazione del bilancio chiuso al 31/12/2021 rispettano le disposizioni contenute nell'art. 2426 del cod. civ. e la valutazione delle voci di bilancio è stata fatta ispirandosi a criteri generali di prudenza e competenza nella prospettiva della continuazione dell'attività. L'applicazione del principio di prudenza ha comportato la valutazione individuale degli elementi componenti le singole poste o voci delle attività o passività, per evitare compensazioni tra costi che dovevano essere riconosciuti e ricavi da non riconoscere in quanto non realizzati. In ottemperanza al principio di competenza, l'effetto delle operazioni e degli altri eventi è stato rilevato contabilmente ed attribuito all'esercizio al quale tali operazioni ed eventi si riferiscono, e non a quello in cui si concretizzano i relativi movimenti di numerario (incassi e pagamenti). </w:t>
      </w:r>
    </w:p>
    <w:p>
      <w:pPr>
        <w:spacing w:after="0"/>
        <w:ind w:left="360"/>
        <w:jc w:val="both"/>
      </w:pPr>
      <w:r>
        <w:t xml:space="preserve">La continuità di applicazione dei criteri di valutazione nel tempo rappresenta elemento necessario ai fini della comparabilità dei bilanci dell’Ente nei vari esercizi. </w:t>
      </w:r>
    </w:p>
    <w:p>
      <w:pPr>
        <w:spacing w:after="0"/>
        <w:ind w:left="360"/>
        <w:jc w:val="both"/>
      </w:pPr>
    </w:p>
    <w:p>
      <w:pPr>
        <w:spacing w:after="0"/>
        <w:ind w:left="360"/>
        <w:jc w:val="both"/>
      </w:pPr>
      <w:r>
        <w:rPr>
          <w:b/>
          <w:bCs/>
        </w:rPr>
        <w:t>Criteri di valutazione più significativi</w:t>
      </w:r>
    </w:p>
    <w:p>
      <w:pPr>
        <w:spacing w:after="0"/>
        <w:ind w:left="360"/>
        <w:jc w:val="both"/>
        <w:rPr>
          <w:b/>
          <w:bCs/>
          <w:i/>
          <w:iCs/>
        </w:rPr>
      </w:pPr>
    </w:p>
    <w:p>
      <w:pPr>
        <w:spacing w:after="0"/>
        <w:ind w:left="360"/>
        <w:jc w:val="both"/>
        <w:rPr>
          <w:b/>
          <w:bCs/>
          <w:i/>
          <w:iCs/>
        </w:rPr>
      </w:pPr>
      <w:r>
        <w:rPr>
          <w:b/>
          <w:bCs/>
          <w:i/>
          <w:iCs/>
        </w:rPr>
        <w:t xml:space="preserve">Immobilizzazioni materiali </w:t>
      </w:r>
    </w:p>
    <w:p>
      <w:pPr>
        <w:spacing w:after="0"/>
        <w:ind w:left="360"/>
        <w:jc w:val="both"/>
      </w:pPr>
      <w:r>
        <w:t>Sono iscritte al costo di acquisto e rettificate dai corrispondenti fondi di ammortamento. Nel valore di iscrizione in bilancio si è tenuto conto degli oneri accessori e dei costi sostenuti per l'utilizzo dell'immobilizzazione. Le quote di ammortamento, imputate a conto economico, sono state determinate sulla base della residua possibilità di utilizzazione e, in particolare, dell'utilizzo, della destinazione e della durata economico-tecnica dei cespiti. Le aliquote di ammortamento rappresentative della residua possibilità di utilizzazione sono le seguenti:</w:t>
      </w:r>
    </w:p>
    <w:p>
      <w:pPr>
        <w:pStyle w:val="Paragrafoelenco"/>
        <w:numPr>
          <w:ilvl w:val="0"/>
          <w:numId w:val="8"/>
        </w:numPr>
        <w:spacing w:after="0"/>
        <w:jc w:val="both"/>
      </w:pPr>
      <w:r>
        <w:t>Immobili 3,00%</w:t>
      </w:r>
    </w:p>
    <w:p>
      <w:pPr>
        <w:pStyle w:val="Paragrafoelenco"/>
        <w:numPr>
          <w:ilvl w:val="0"/>
          <w:numId w:val="8"/>
        </w:numPr>
        <w:spacing w:after="0"/>
        <w:jc w:val="both"/>
      </w:pPr>
      <w:r>
        <w:t>Beni mobili (arredi, macchine elettroniche, attrezzature, ecc..) 20,00%</w:t>
      </w:r>
    </w:p>
    <w:p>
      <w:pPr>
        <w:spacing w:after="0"/>
        <w:ind w:left="415"/>
        <w:jc w:val="both"/>
        <w:rPr>
          <w:b/>
          <w:bCs/>
          <w:i/>
          <w:iCs/>
        </w:rPr>
      </w:pPr>
      <w:r>
        <w:rPr>
          <w:b/>
          <w:bCs/>
          <w:i/>
          <w:iCs/>
        </w:rPr>
        <w:t xml:space="preserve">Crediti </w:t>
      </w:r>
    </w:p>
    <w:p>
      <w:pPr>
        <w:spacing w:after="0"/>
        <w:ind w:left="415"/>
        <w:jc w:val="both"/>
      </w:pPr>
      <w:r>
        <w:t xml:space="preserve">Sono esposti al presumibile valore di realizzo. Per un dettaglio di tale rappresentazione, si rinvia al prospetto “Raccordo fra la gestione dei residui attivi e passivi risultanti dal conto del bilancio ed i crediti e debiti iscritti in situazione patrimoniale al 31/12/2021”. </w:t>
      </w:r>
    </w:p>
    <w:p>
      <w:pPr>
        <w:spacing w:after="0"/>
        <w:ind w:left="415"/>
        <w:jc w:val="both"/>
        <w:rPr>
          <w:b/>
          <w:bCs/>
          <w:i/>
          <w:iCs/>
        </w:rPr>
      </w:pPr>
      <w:r>
        <w:rPr>
          <w:b/>
          <w:bCs/>
          <w:i/>
          <w:iCs/>
        </w:rPr>
        <w:t>Titoli</w:t>
      </w:r>
    </w:p>
    <w:p>
      <w:pPr>
        <w:spacing w:after="0"/>
        <w:ind w:left="415"/>
        <w:jc w:val="both"/>
      </w:pPr>
      <w:r>
        <w:t>Sono iscritti al loro valore nominale e sulla base del loro effettivo importo.</w:t>
      </w:r>
    </w:p>
    <w:p>
      <w:pPr>
        <w:spacing w:after="0"/>
        <w:ind w:left="415"/>
        <w:jc w:val="both"/>
        <w:rPr>
          <w:b/>
          <w:bCs/>
          <w:i/>
          <w:iCs/>
        </w:rPr>
      </w:pPr>
      <w:r>
        <w:rPr>
          <w:b/>
          <w:bCs/>
          <w:i/>
          <w:iCs/>
        </w:rPr>
        <w:t xml:space="preserve">Disponibilità liquide </w:t>
      </w:r>
    </w:p>
    <w:p>
      <w:pPr>
        <w:spacing w:after="0"/>
        <w:ind w:left="415"/>
        <w:jc w:val="both"/>
      </w:pPr>
      <w:r>
        <w:t xml:space="preserve">Sono iscritte al loro valore nominale e sulla base del loro effettivo importo. </w:t>
      </w:r>
    </w:p>
    <w:p>
      <w:pPr>
        <w:spacing w:after="0"/>
        <w:ind w:left="415"/>
        <w:jc w:val="both"/>
        <w:rPr>
          <w:b/>
          <w:bCs/>
          <w:i/>
          <w:iCs/>
        </w:rPr>
      </w:pPr>
      <w:r>
        <w:rPr>
          <w:b/>
          <w:bCs/>
          <w:i/>
          <w:iCs/>
        </w:rPr>
        <w:lastRenderedPageBreak/>
        <w:t>Trattamento di Fine Rapporto</w:t>
      </w:r>
    </w:p>
    <w:p>
      <w:pPr>
        <w:spacing w:after="0"/>
        <w:ind w:left="415"/>
        <w:jc w:val="both"/>
      </w:pPr>
      <w:r>
        <w:t xml:space="preserve">Rappresenta l’effettiva indennità maturata verso i dipendenti in conformità alle norme di legge ed ai contratti di lavoro vigenti. Il fondo corrisponde al totale delle singole indennità maturate a favore dei dipendenti dell’Ordine alla data di chiusura del bilancio, al netto degli acconti erogati, ed è pari a quanto si sarebbe dovuto corrispondere ai dipendenti nell'ipotesi di cessazione del rapporto di lavoro in tale data. Tale passività è soggetta a rivalutazione come previsto dalla normativa vigente. </w:t>
      </w:r>
    </w:p>
    <w:p>
      <w:pPr>
        <w:spacing w:after="0"/>
        <w:ind w:left="415"/>
        <w:jc w:val="both"/>
        <w:rPr>
          <w:b/>
          <w:bCs/>
          <w:i/>
          <w:iCs/>
        </w:rPr>
      </w:pPr>
      <w:r>
        <w:rPr>
          <w:b/>
          <w:bCs/>
          <w:i/>
          <w:iCs/>
        </w:rPr>
        <w:t>Debiti</w:t>
      </w:r>
    </w:p>
    <w:p>
      <w:pPr>
        <w:spacing w:after="0"/>
        <w:ind w:left="415"/>
        <w:jc w:val="both"/>
      </w:pPr>
      <w:r>
        <w:t xml:space="preserve">Sono rilevati al loro valore nominale. Per un dettaglio di tale voce, si rinvia al prospetto “Raccordo fra la gestione dei residui attivi e passivi risultanti dal conto del bilancio ed i crediti e debiti iscritti in situazione patrimoniale al 31/12/2021”. </w:t>
      </w:r>
    </w:p>
    <w:p>
      <w:pPr>
        <w:spacing w:after="0"/>
        <w:ind w:left="415"/>
        <w:jc w:val="both"/>
        <w:rPr>
          <w:b/>
          <w:bCs/>
          <w:i/>
          <w:iCs/>
        </w:rPr>
      </w:pPr>
      <w:r>
        <w:rPr>
          <w:b/>
          <w:bCs/>
          <w:i/>
          <w:iCs/>
        </w:rPr>
        <w:t xml:space="preserve">Ricavi e Costi </w:t>
      </w:r>
    </w:p>
    <w:p>
      <w:pPr>
        <w:spacing w:after="0"/>
        <w:ind w:left="415"/>
        <w:jc w:val="both"/>
      </w:pPr>
      <w:r>
        <w:t>Sono esposti in bilancio secondo i principi della prudenza e della competenza, al netto di eventuali sconti e abbuoni.</w:t>
      </w:r>
    </w:p>
    <w:p>
      <w:pPr>
        <w:spacing w:after="0"/>
        <w:ind w:left="415"/>
        <w:jc w:val="both"/>
      </w:pPr>
    </w:p>
    <w:p>
      <w:pPr>
        <w:pStyle w:val="Paragrafoelenco"/>
        <w:numPr>
          <w:ilvl w:val="0"/>
          <w:numId w:val="7"/>
        </w:numPr>
        <w:spacing w:after="0"/>
        <w:jc w:val="both"/>
        <w:rPr>
          <w:b/>
          <w:bCs/>
        </w:rPr>
      </w:pPr>
      <w:r>
        <w:rPr>
          <w:b/>
          <w:bCs/>
        </w:rPr>
        <w:t xml:space="preserve">Movimenti delle immobilizzazioni </w:t>
      </w:r>
    </w:p>
    <w:p>
      <w:pPr>
        <w:pStyle w:val="Paragrafoelenco"/>
        <w:spacing w:after="0"/>
        <w:ind w:left="360"/>
        <w:jc w:val="both"/>
      </w:pPr>
      <w:r>
        <w:t xml:space="preserve">Le movimentazioni intervenute vengono riepilogate nelle tabelle che seguono: </w:t>
      </w:r>
    </w:p>
    <w:p>
      <w:pPr>
        <w:pStyle w:val="Paragrafoelenco"/>
        <w:spacing w:after="0"/>
        <w:ind w:left="360"/>
        <w:jc w:val="both"/>
      </w:pPr>
    </w:p>
    <w:bookmarkStart w:id="0" w:name="_MON_1652716536"/>
    <w:bookmarkEnd w:id="0"/>
    <w:p>
      <w:pPr>
        <w:pStyle w:val="Paragrafoelenco"/>
        <w:spacing w:after="0"/>
        <w:ind w:left="360"/>
        <w:jc w:val="both"/>
      </w:pPr>
      <w:r>
        <w:object w:dxaOrig="9715" w:dyaOrig="3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5pt" o:ole="">
            <v:imagedata r:id="rId7" o:title=""/>
          </v:shape>
          <o:OLEObject Type="Embed" ProgID="Excel.Sheet.12" ShapeID="_x0000_i1025" DrawAspect="Content" ObjectID="_1712728060" r:id="rId8"/>
        </w:object>
      </w:r>
    </w:p>
    <w:p>
      <w:pPr>
        <w:pStyle w:val="Paragrafoelenco"/>
        <w:spacing w:after="0"/>
        <w:ind w:left="360"/>
        <w:jc w:val="both"/>
      </w:pPr>
    </w:p>
    <w:p>
      <w:pPr>
        <w:pStyle w:val="Paragrafoelenco"/>
        <w:spacing w:after="0"/>
        <w:ind w:left="360"/>
        <w:jc w:val="both"/>
      </w:pPr>
      <w:r>
        <w:t>I beni MOBILI sono inventariati per un originario costo di € 101.099,63.</w:t>
      </w:r>
    </w:p>
    <w:p>
      <w:pPr>
        <w:pStyle w:val="Paragrafoelenco"/>
        <w:spacing w:after="0"/>
        <w:ind w:left="360"/>
        <w:jc w:val="both"/>
      </w:pPr>
      <w:r>
        <w:t>Il valore/costo degli IMMOBILI è così costituito:</w:t>
      </w:r>
    </w:p>
    <w:p>
      <w:pPr>
        <w:pStyle w:val="Paragrafoelenco"/>
        <w:numPr>
          <w:ilvl w:val="0"/>
          <w:numId w:val="9"/>
        </w:numPr>
        <w:spacing w:after="0"/>
        <w:jc w:val="both"/>
      </w:pPr>
      <w:r>
        <w:t>€. 261.443,10 – Sede e locale al pian terreno;</w:t>
      </w:r>
    </w:p>
    <w:p>
      <w:pPr>
        <w:pStyle w:val="Paragrafoelenco"/>
        <w:numPr>
          <w:ilvl w:val="0"/>
          <w:numId w:val="9"/>
        </w:numPr>
        <w:spacing w:after="0"/>
        <w:jc w:val="both"/>
      </w:pPr>
      <w:r>
        <w:t>€. 51.347,59 per il secondo locale a pian terreno.</w:t>
      </w:r>
    </w:p>
    <w:p>
      <w:pPr>
        <w:spacing w:after="0"/>
        <w:ind w:left="360"/>
        <w:jc w:val="both"/>
      </w:pPr>
      <w:r>
        <w:t>In bilancio risultano anche rilevate ed evidenziate immobilizzazioni in corso e acconti per un totale di €. €. 187.672,96 per spese da sostenere, come già anticipato nelle pagine precedenti, in gran parte per la ristrutturazione di parti interne della sede e per il resto per oneri riferiti alla ristrutturazione dei due locali al pian terreno.</w:t>
      </w:r>
    </w:p>
    <w:p>
      <w:pPr>
        <w:pStyle w:val="Paragrafoelenco"/>
        <w:spacing w:after="0"/>
        <w:ind w:left="360"/>
        <w:jc w:val="both"/>
      </w:pPr>
    </w:p>
    <w:p>
      <w:pPr>
        <w:pStyle w:val="Paragrafoelenco"/>
        <w:numPr>
          <w:ilvl w:val="0"/>
          <w:numId w:val="11"/>
        </w:numPr>
        <w:spacing w:after="0"/>
        <w:jc w:val="both"/>
        <w:rPr>
          <w:b/>
          <w:bCs/>
        </w:rPr>
      </w:pPr>
      <w:r>
        <w:rPr>
          <w:b/>
          <w:bCs/>
        </w:rPr>
        <w:t>Le variazioni intervenute nella consistenza delle altre voci dell’attivo e del passivo</w:t>
      </w:r>
    </w:p>
    <w:p>
      <w:pPr>
        <w:pStyle w:val="Paragrafoelenco"/>
        <w:spacing w:after="0"/>
        <w:ind w:left="360"/>
        <w:jc w:val="center"/>
        <w:rPr>
          <w:u w:val="single"/>
        </w:rPr>
      </w:pPr>
      <w:r>
        <w:rPr>
          <w:u w:val="single"/>
        </w:rPr>
        <w:t>Attivo circolante - Crediti - Variazioni</w:t>
      </w:r>
    </w:p>
    <w:p>
      <w:pPr>
        <w:pStyle w:val="Paragrafoelenco"/>
        <w:spacing w:after="0"/>
        <w:ind w:left="360"/>
        <w:jc w:val="center"/>
        <w:rPr>
          <w:u w:val="single"/>
        </w:rPr>
      </w:pPr>
    </w:p>
    <w:bookmarkStart w:id="1" w:name="_MON_1652718622"/>
    <w:bookmarkEnd w:id="1"/>
    <w:p>
      <w:pPr>
        <w:pStyle w:val="Paragrafoelenco"/>
        <w:spacing w:after="0"/>
        <w:ind w:left="360"/>
        <w:jc w:val="center"/>
        <w:rPr>
          <w:u w:val="single"/>
        </w:rPr>
      </w:pPr>
      <w:r>
        <w:object w:dxaOrig="8647" w:dyaOrig="1170">
          <v:shape id="_x0000_i1026" type="#_x0000_t75" style="width:6in;height:60pt" o:ole="">
            <v:imagedata r:id="rId9" o:title=""/>
          </v:shape>
          <o:OLEObject Type="Embed" ProgID="Excel.Sheet.12" ShapeID="_x0000_i1026" DrawAspect="Content" ObjectID="_1712728061" r:id="rId10"/>
        </w:object>
      </w:r>
    </w:p>
    <w:p>
      <w:pPr>
        <w:pStyle w:val="Paragrafoelenco"/>
        <w:spacing w:after="0"/>
        <w:ind w:left="360"/>
        <w:jc w:val="center"/>
        <w:rPr>
          <w:u w:val="single"/>
        </w:rPr>
      </w:pPr>
    </w:p>
    <w:p>
      <w:pPr>
        <w:autoSpaceDE w:val="0"/>
        <w:autoSpaceDN w:val="0"/>
        <w:adjustRightInd w:val="0"/>
        <w:spacing w:after="0" w:line="240" w:lineRule="auto"/>
        <w:jc w:val="center"/>
        <w:rPr>
          <w:rFonts w:ascii="Arial" w:hAnsi="Arial" w:cs="Arial"/>
          <w:sz w:val="16"/>
          <w:szCs w:val="16"/>
        </w:rPr>
      </w:pPr>
    </w:p>
    <w:p>
      <w:pPr>
        <w:autoSpaceDE w:val="0"/>
        <w:autoSpaceDN w:val="0"/>
        <w:adjustRightInd w:val="0"/>
        <w:spacing w:after="0" w:line="240" w:lineRule="auto"/>
        <w:jc w:val="center"/>
        <w:rPr>
          <w:rFonts w:ascii="Arial" w:hAnsi="Arial" w:cs="Arial"/>
          <w:sz w:val="16"/>
          <w:szCs w:val="16"/>
        </w:rPr>
      </w:pPr>
    </w:p>
    <w:p>
      <w:pPr>
        <w:autoSpaceDE w:val="0"/>
        <w:autoSpaceDN w:val="0"/>
        <w:adjustRightInd w:val="0"/>
        <w:spacing w:after="0" w:line="240" w:lineRule="auto"/>
        <w:jc w:val="center"/>
        <w:rPr>
          <w:rFonts w:ascii="Arial" w:hAnsi="Arial" w:cs="Arial"/>
          <w:sz w:val="16"/>
          <w:szCs w:val="16"/>
        </w:rPr>
      </w:pPr>
    </w:p>
    <w:p>
      <w:pPr>
        <w:autoSpaceDE w:val="0"/>
        <w:autoSpaceDN w:val="0"/>
        <w:adjustRightInd w:val="0"/>
        <w:spacing w:after="0" w:line="240" w:lineRule="auto"/>
        <w:jc w:val="center"/>
        <w:rPr>
          <w:u w:val="single"/>
        </w:rPr>
      </w:pPr>
      <w:r>
        <w:rPr>
          <w:rFonts w:ascii="Arial" w:hAnsi="Arial" w:cs="Arial"/>
          <w:sz w:val="16"/>
          <w:szCs w:val="16"/>
        </w:rPr>
        <w:lastRenderedPageBreak/>
        <w:t>RACCORDO FRA LA GESTIONE DEI RESIDUI ATTIVI RISULTANTI DAL CONTO DI BILANCIO ED I CREDITI ISCRITTI IN SITUAZIONE PATRIMONIALE AL 31/12/2021</w:t>
      </w:r>
    </w:p>
    <w:p>
      <w:pPr>
        <w:pStyle w:val="Paragrafoelenco"/>
        <w:spacing w:after="0"/>
        <w:ind w:left="360"/>
        <w:jc w:val="center"/>
        <w:rPr>
          <w:u w:val="single"/>
        </w:rPr>
      </w:pPr>
    </w:p>
    <w:bookmarkStart w:id="2" w:name="_MON_1652767732"/>
    <w:bookmarkEnd w:id="2"/>
    <w:p>
      <w:pPr>
        <w:pStyle w:val="Paragrafoelenco"/>
        <w:spacing w:after="0"/>
        <w:ind w:left="360"/>
        <w:jc w:val="center"/>
        <w:rPr>
          <w:u w:val="single"/>
        </w:rPr>
      </w:pPr>
      <w:r>
        <w:object w:dxaOrig="9475" w:dyaOrig="1530">
          <v:shape id="_x0000_i1027" type="#_x0000_t75" style="width:473.25pt;height:78.75pt" o:ole="">
            <v:imagedata r:id="rId11" o:title=""/>
          </v:shape>
          <o:OLEObject Type="Embed" ProgID="Excel.Sheet.12" ShapeID="_x0000_i1027" DrawAspect="Content" ObjectID="_1712728062" r:id="rId12"/>
        </w:object>
      </w:r>
    </w:p>
    <w:p>
      <w:pPr>
        <w:pStyle w:val="Paragrafoelenco"/>
        <w:spacing w:after="0"/>
        <w:ind w:left="360"/>
        <w:jc w:val="center"/>
        <w:rPr>
          <w:u w:val="single"/>
        </w:rPr>
      </w:pPr>
    </w:p>
    <w:p>
      <w:pPr>
        <w:pStyle w:val="Paragrafoelenco"/>
        <w:spacing w:after="0"/>
        <w:ind w:left="360"/>
        <w:jc w:val="center"/>
        <w:rPr>
          <w:u w:val="single"/>
        </w:rPr>
      </w:pPr>
      <w:r>
        <w:rPr>
          <w:u w:val="single"/>
        </w:rPr>
        <w:t>Attivo circolante – Attività finanziarie – Variazioni</w:t>
      </w:r>
    </w:p>
    <w:p>
      <w:pPr>
        <w:pStyle w:val="Paragrafoelenco"/>
        <w:spacing w:after="0"/>
        <w:ind w:left="360"/>
        <w:jc w:val="center"/>
        <w:rPr>
          <w:u w:val="single"/>
        </w:rPr>
      </w:pPr>
    </w:p>
    <w:bookmarkStart w:id="3" w:name="_MON_1652719128"/>
    <w:bookmarkEnd w:id="3"/>
    <w:p>
      <w:pPr>
        <w:pStyle w:val="Paragrafoelenco"/>
        <w:spacing w:after="0"/>
        <w:ind w:left="360"/>
        <w:jc w:val="center"/>
        <w:rPr>
          <w:u w:val="single"/>
        </w:rPr>
      </w:pPr>
      <w:r>
        <w:object w:dxaOrig="8647" w:dyaOrig="1170">
          <v:shape id="_x0000_i1028" type="#_x0000_t75" style="width:6in;height:57.75pt" o:ole="">
            <v:imagedata r:id="rId13" o:title=""/>
          </v:shape>
          <o:OLEObject Type="Embed" ProgID="Excel.Sheet.12" ShapeID="_x0000_i1028" DrawAspect="Content" ObjectID="_1712728063" r:id="rId14"/>
        </w:object>
      </w:r>
    </w:p>
    <w:p>
      <w:pPr>
        <w:pStyle w:val="Paragrafoelenco"/>
        <w:spacing w:after="0"/>
        <w:ind w:left="360"/>
        <w:jc w:val="center"/>
        <w:rPr>
          <w:u w:val="single"/>
        </w:rPr>
      </w:pPr>
    </w:p>
    <w:p>
      <w:pPr>
        <w:pStyle w:val="Paragrafoelenco"/>
        <w:spacing w:after="0"/>
        <w:ind w:left="360"/>
        <w:jc w:val="center"/>
        <w:rPr>
          <w:u w:val="single"/>
        </w:rPr>
      </w:pPr>
      <w:r>
        <w:rPr>
          <w:u w:val="single"/>
        </w:rPr>
        <w:t>Attivo circolante – Disponibilità liquide – Variazioni</w:t>
      </w:r>
    </w:p>
    <w:p>
      <w:pPr>
        <w:pStyle w:val="Paragrafoelenco"/>
        <w:spacing w:after="0"/>
        <w:ind w:left="360"/>
        <w:jc w:val="center"/>
        <w:rPr>
          <w:u w:val="single"/>
        </w:rPr>
      </w:pPr>
    </w:p>
    <w:bookmarkStart w:id="4" w:name="_MON_1652718947"/>
    <w:bookmarkEnd w:id="4"/>
    <w:p>
      <w:pPr>
        <w:pStyle w:val="Paragrafoelenco"/>
        <w:spacing w:after="0"/>
        <w:ind w:left="360"/>
        <w:jc w:val="center"/>
        <w:rPr>
          <w:u w:val="single"/>
        </w:rPr>
      </w:pPr>
      <w:r>
        <w:object w:dxaOrig="8647" w:dyaOrig="1400">
          <v:shape id="_x0000_i1029" type="#_x0000_t75" style="width:6in;height:1in" o:ole="">
            <v:imagedata r:id="rId15" o:title=""/>
          </v:shape>
          <o:OLEObject Type="Embed" ProgID="Excel.Sheet.12" ShapeID="_x0000_i1029" DrawAspect="Content" ObjectID="_1712728064" r:id="rId16"/>
        </w:object>
      </w:r>
    </w:p>
    <w:p>
      <w:pPr>
        <w:pStyle w:val="Paragrafoelenco"/>
        <w:spacing w:after="0"/>
        <w:ind w:left="360"/>
        <w:jc w:val="center"/>
        <w:rPr>
          <w:u w:val="single"/>
        </w:rPr>
      </w:pPr>
    </w:p>
    <w:p>
      <w:pPr>
        <w:pStyle w:val="Paragrafoelenco"/>
        <w:spacing w:after="0"/>
        <w:ind w:left="360"/>
        <w:jc w:val="both"/>
      </w:pPr>
      <w:r>
        <w:t>Al 31 dicembre 2021 il FONDO DI CASSA dell’Ordine è così ripartito:</w:t>
      </w:r>
    </w:p>
    <w:p>
      <w:pPr>
        <w:pStyle w:val="Paragrafoelenco"/>
        <w:spacing w:after="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4"/>
        <w:gridCol w:w="2254"/>
      </w:tblGrid>
      <w:tr>
        <w:tc>
          <w:tcPr>
            <w:tcW w:w="7374" w:type="dxa"/>
            <w:shd w:val="clear" w:color="auto" w:fill="auto"/>
          </w:tcPr>
          <w:p>
            <w:pPr>
              <w:autoSpaceDE w:val="0"/>
              <w:autoSpaceDN w:val="0"/>
              <w:adjustRightInd w:val="0"/>
              <w:rPr>
                <w:rFonts w:cstheme="minorHAnsi"/>
                <w:sz w:val="16"/>
                <w:szCs w:val="16"/>
                <w:lang w:eastAsia="it-IT"/>
              </w:rPr>
            </w:pPr>
            <w:r>
              <w:rPr>
                <w:rFonts w:cstheme="minorHAnsi"/>
                <w:sz w:val="16"/>
                <w:szCs w:val="16"/>
                <w:lang w:eastAsia="it-IT"/>
              </w:rPr>
              <w:t>BANCA MONTE DEI PASCHI - CONTO CORRENTE</w:t>
            </w:r>
          </w:p>
        </w:tc>
        <w:tc>
          <w:tcPr>
            <w:tcW w:w="2254" w:type="dxa"/>
            <w:shd w:val="clear" w:color="auto" w:fill="auto"/>
          </w:tcPr>
          <w:p>
            <w:pPr>
              <w:autoSpaceDE w:val="0"/>
              <w:autoSpaceDN w:val="0"/>
              <w:adjustRightInd w:val="0"/>
              <w:jc w:val="right"/>
              <w:rPr>
                <w:rFonts w:cstheme="minorHAnsi"/>
                <w:sz w:val="16"/>
                <w:szCs w:val="16"/>
                <w:lang w:eastAsia="it-IT"/>
              </w:rPr>
            </w:pPr>
            <w:r>
              <w:rPr>
                <w:rFonts w:cstheme="minorHAnsi"/>
                <w:sz w:val="16"/>
                <w:szCs w:val="16"/>
                <w:lang w:eastAsia="it-IT"/>
              </w:rPr>
              <w:t>€ 379.092,21</w:t>
            </w:r>
          </w:p>
        </w:tc>
      </w:tr>
      <w:tr>
        <w:tc>
          <w:tcPr>
            <w:tcW w:w="7374" w:type="dxa"/>
            <w:shd w:val="clear" w:color="auto" w:fill="auto"/>
          </w:tcPr>
          <w:p>
            <w:pPr>
              <w:autoSpaceDE w:val="0"/>
              <w:autoSpaceDN w:val="0"/>
              <w:adjustRightInd w:val="0"/>
              <w:rPr>
                <w:rFonts w:cstheme="minorHAnsi"/>
                <w:sz w:val="16"/>
                <w:szCs w:val="16"/>
                <w:lang w:eastAsia="it-IT"/>
              </w:rPr>
            </w:pPr>
            <w:r>
              <w:rPr>
                <w:rFonts w:cstheme="minorHAnsi"/>
                <w:sz w:val="16"/>
                <w:szCs w:val="16"/>
                <w:lang w:eastAsia="it-IT"/>
              </w:rPr>
              <w:t>BANCA MONTE DEI PASCHI - CONTO TITOLI (esclusi interessi)</w:t>
            </w:r>
          </w:p>
        </w:tc>
        <w:tc>
          <w:tcPr>
            <w:tcW w:w="2254" w:type="dxa"/>
            <w:shd w:val="clear" w:color="auto" w:fill="auto"/>
          </w:tcPr>
          <w:p>
            <w:pPr>
              <w:autoSpaceDE w:val="0"/>
              <w:autoSpaceDN w:val="0"/>
              <w:adjustRightInd w:val="0"/>
              <w:jc w:val="right"/>
              <w:rPr>
                <w:rFonts w:cstheme="minorHAnsi"/>
                <w:sz w:val="16"/>
                <w:szCs w:val="16"/>
                <w:lang w:eastAsia="it-IT"/>
              </w:rPr>
            </w:pPr>
            <w:r>
              <w:rPr>
                <w:rFonts w:cstheme="minorHAnsi"/>
                <w:sz w:val="16"/>
                <w:szCs w:val="16"/>
                <w:lang w:eastAsia="it-IT"/>
              </w:rPr>
              <w:t>€ 75.070,85</w:t>
            </w:r>
          </w:p>
        </w:tc>
      </w:tr>
      <w:tr>
        <w:tc>
          <w:tcPr>
            <w:tcW w:w="7374" w:type="dxa"/>
            <w:shd w:val="clear" w:color="auto" w:fill="auto"/>
          </w:tcPr>
          <w:p>
            <w:pPr>
              <w:autoSpaceDE w:val="0"/>
              <w:autoSpaceDN w:val="0"/>
              <w:adjustRightInd w:val="0"/>
              <w:rPr>
                <w:rFonts w:cstheme="minorHAnsi"/>
                <w:sz w:val="16"/>
                <w:szCs w:val="16"/>
                <w:lang w:eastAsia="it-IT"/>
              </w:rPr>
            </w:pPr>
            <w:r>
              <w:rPr>
                <w:rFonts w:cstheme="minorHAnsi"/>
                <w:sz w:val="16"/>
                <w:szCs w:val="16"/>
                <w:lang w:eastAsia="it-IT"/>
              </w:rPr>
              <w:t>CREDIT AGRICOLE - CONTO CORRENTE</w:t>
            </w:r>
          </w:p>
        </w:tc>
        <w:tc>
          <w:tcPr>
            <w:tcW w:w="2254" w:type="dxa"/>
            <w:shd w:val="clear" w:color="auto" w:fill="auto"/>
          </w:tcPr>
          <w:p>
            <w:pPr>
              <w:autoSpaceDE w:val="0"/>
              <w:autoSpaceDN w:val="0"/>
              <w:adjustRightInd w:val="0"/>
              <w:jc w:val="right"/>
              <w:rPr>
                <w:rFonts w:cstheme="minorHAnsi"/>
                <w:sz w:val="16"/>
                <w:szCs w:val="16"/>
                <w:lang w:eastAsia="it-IT"/>
              </w:rPr>
            </w:pPr>
            <w:r>
              <w:rPr>
                <w:rFonts w:cstheme="minorHAnsi"/>
                <w:sz w:val="16"/>
                <w:szCs w:val="16"/>
                <w:lang w:eastAsia="it-IT"/>
              </w:rPr>
              <w:t>€ 260.930,12</w:t>
            </w:r>
          </w:p>
        </w:tc>
      </w:tr>
      <w:tr>
        <w:tc>
          <w:tcPr>
            <w:tcW w:w="7374" w:type="dxa"/>
            <w:shd w:val="clear" w:color="auto" w:fill="auto"/>
          </w:tcPr>
          <w:p>
            <w:pPr>
              <w:autoSpaceDE w:val="0"/>
              <w:autoSpaceDN w:val="0"/>
              <w:adjustRightInd w:val="0"/>
              <w:rPr>
                <w:rFonts w:cstheme="minorHAnsi"/>
                <w:sz w:val="16"/>
                <w:szCs w:val="16"/>
                <w:lang w:eastAsia="it-IT"/>
              </w:rPr>
            </w:pPr>
            <w:r>
              <w:rPr>
                <w:rFonts w:cstheme="minorHAnsi"/>
                <w:sz w:val="16"/>
                <w:szCs w:val="16"/>
                <w:lang w:eastAsia="it-IT"/>
              </w:rPr>
              <w:t xml:space="preserve">UNICREDIT – CONTO CORRENTE </w:t>
            </w:r>
            <w:r>
              <w:rPr>
                <w:rFonts w:cstheme="minorHAnsi"/>
                <w:sz w:val="16"/>
                <w:szCs w:val="16"/>
                <w:lang w:eastAsia="it-IT"/>
              </w:rPr>
              <w:tab/>
            </w:r>
          </w:p>
        </w:tc>
        <w:tc>
          <w:tcPr>
            <w:tcW w:w="2254" w:type="dxa"/>
            <w:shd w:val="clear" w:color="auto" w:fill="auto"/>
          </w:tcPr>
          <w:p>
            <w:pPr>
              <w:autoSpaceDE w:val="0"/>
              <w:autoSpaceDN w:val="0"/>
              <w:adjustRightInd w:val="0"/>
              <w:jc w:val="right"/>
              <w:rPr>
                <w:rFonts w:cstheme="minorHAnsi"/>
                <w:sz w:val="16"/>
                <w:szCs w:val="16"/>
                <w:lang w:eastAsia="it-IT"/>
              </w:rPr>
            </w:pPr>
            <w:r>
              <w:rPr>
                <w:rFonts w:cstheme="minorHAnsi"/>
                <w:sz w:val="16"/>
                <w:szCs w:val="16"/>
                <w:lang w:eastAsia="it-IT"/>
              </w:rPr>
              <w:t>€ 106.917,18</w:t>
            </w:r>
          </w:p>
        </w:tc>
      </w:tr>
      <w:tr>
        <w:tc>
          <w:tcPr>
            <w:tcW w:w="7374" w:type="dxa"/>
            <w:shd w:val="clear" w:color="auto" w:fill="auto"/>
          </w:tcPr>
          <w:p>
            <w:pPr>
              <w:autoSpaceDE w:val="0"/>
              <w:autoSpaceDN w:val="0"/>
              <w:adjustRightInd w:val="0"/>
              <w:rPr>
                <w:rFonts w:cstheme="minorHAnsi"/>
                <w:sz w:val="16"/>
                <w:szCs w:val="16"/>
                <w:lang w:eastAsia="it-IT"/>
              </w:rPr>
            </w:pPr>
            <w:r>
              <w:rPr>
                <w:rFonts w:cstheme="minorHAnsi"/>
                <w:sz w:val="16"/>
                <w:szCs w:val="16"/>
                <w:lang w:eastAsia="it-IT"/>
              </w:rPr>
              <w:t>Polizza INA ASSITALIA N. 9019802 (esclusi interessi)</w:t>
            </w:r>
            <w:r>
              <w:rPr>
                <w:rFonts w:cstheme="minorHAnsi"/>
                <w:sz w:val="16"/>
                <w:szCs w:val="16"/>
                <w:lang w:eastAsia="it-IT"/>
              </w:rPr>
              <w:tab/>
            </w:r>
          </w:p>
        </w:tc>
        <w:tc>
          <w:tcPr>
            <w:tcW w:w="2254" w:type="dxa"/>
            <w:shd w:val="clear" w:color="auto" w:fill="auto"/>
          </w:tcPr>
          <w:p>
            <w:pPr>
              <w:autoSpaceDE w:val="0"/>
              <w:autoSpaceDN w:val="0"/>
              <w:adjustRightInd w:val="0"/>
              <w:jc w:val="right"/>
              <w:rPr>
                <w:rFonts w:cstheme="minorHAnsi"/>
                <w:sz w:val="16"/>
                <w:szCs w:val="16"/>
                <w:lang w:eastAsia="it-IT"/>
              </w:rPr>
            </w:pPr>
            <w:r>
              <w:rPr>
                <w:rFonts w:cstheme="minorHAnsi"/>
                <w:sz w:val="16"/>
                <w:szCs w:val="16"/>
                <w:lang w:eastAsia="it-IT"/>
              </w:rPr>
              <w:t>€ 183.379,99</w:t>
            </w:r>
          </w:p>
        </w:tc>
      </w:tr>
      <w:tr>
        <w:tc>
          <w:tcPr>
            <w:tcW w:w="7374" w:type="dxa"/>
            <w:shd w:val="clear" w:color="auto" w:fill="auto"/>
          </w:tcPr>
          <w:p>
            <w:pPr>
              <w:autoSpaceDE w:val="0"/>
              <w:autoSpaceDN w:val="0"/>
              <w:adjustRightInd w:val="0"/>
              <w:rPr>
                <w:rFonts w:cstheme="minorHAnsi"/>
                <w:sz w:val="16"/>
                <w:szCs w:val="16"/>
                <w:lang w:eastAsia="it-IT"/>
              </w:rPr>
            </w:pPr>
            <w:r>
              <w:rPr>
                <w:rFonts w:cstheme="minorHAnsi"/>
                <w:sz w:val="16"/>
                <w:szCs w:val="16"/>
                <w:lang w:eastAsia="it-IT"/>
              </w:rPr>
              <w:t>Cassa contanti</w:t>
            </w:r>
          </w:p>
        </w:tc>
        <w:tc>
          <w:tcPr>
            <w:tcW w:w="2254" w:type="dxa"/>
            <w:shd w:val="clear" w:color="auto" w:fill="auto"/>
          </w:tcPr>
          <w:p>
            <w:pPr>
              <w:autoSpaceDE w:val="0"/>
              <w:autoSpaceDN w:val="0"/>
              <w:adjustRightInd w:val="0"/>
              <w:jc w:val="right"/>
              <w:rPr>
                <w:rFonts w:cstheme="minorHAnsi"/>
                <w:sz w:val="16"/>
                <w:szCs w:val="16"/>
                <w:lang w:eastAsia="it-IT"/>
              </w:rPr>
            </w:pPr>
            <w:r>
              <w:rPr>
                <w:rFonts w:cstheme="minorHAnsi"/>
                <w:sz w:val="16"/>
                <w:szCs w:val="16"/>
                <w:lang w:eastAsia="it-IT"/>
              </w:rPr>
              <w:t>0,00</w:t>
            </w:r>
          </w:p>
        </w:tc>
      </w:tr>
    </w:tbl>
    <w:p>
      <w:pPr>
        <w:pStyle w:val="Paragrafoelenco"/>
        <w:spacing w:after="0"/>
        <w:ind w:left="360"/>
        <w:jc w:val="center"/>
        <w:rPr>
          <w:highlight w:val="cyan"/>
          <w:u w:val="single"/>
        </w:rPr>
      </w:pPr>
    </w:p>
    <w:p>
      <w:pPr>
        <w:pStyle w:val="Paragrafoelenco"/>
        <w:spacing w:after="0"/>
        <w:ind w:left="360"/>
        <w:jc w:val="center"/>
        <w:rPr>
          <w:u w:val="single"/>
        </w:rPr>
      </w:pPr>
      <w:r>
        <w:rPr>
          <w:u w:val="single"/>
        </w:rPr>
        <w:t>Patrimonio netto - Variazioni</w:t>
      </w:r>
    </w:p>
    <w:p>
      <w:pPr>
        <w:pStyle w:val="Paragrafoelenco"/>
        <w:spacing w:after="0"/>
        <w:ind w:left="360"/>
        <w:jc w:val="center"/>
        <w:rPr>
          <w:u w:val="single"/>
        </w:rPr>
      </w:pPr>
    </w:p>
    <w:bookmarkStart w:id="5" w:name="_MON_1652719377"/>
    <w:bookmarkEnd w:id="5"/>
    <w:p>
      <w:pPr>
        <w:pStyle w:val="Paragrafoelenco"/>
        <w:spacing w:after="0"/>
        <w:ind w:left="360"/>
        <w:jc w:val="center"/>
        <w:rPr>
          <w:u w:val="single"/>
        </w:rPr>
      </w:pPr>
      <w:r>
        <w:object w:dxaOrig="8647" w:dyaOrig="1400">
          <v:shape id="_x0000_i1030" type="#_x0000_t75" style="width:6in;height:1in" o:ole="">
            <v:imagedata r:id="rId17" o:title=""/>
          </v:shape>
          <o:OLEObject Type="Embed" ProgID="Excel.Sheet.12" ShapeID="_x0000_i1030" DrawAspect="Content" ObjectID="_1712728065" r:id="rId18"/>
        </w:object>
      </w:r>
    </w:p>
    <w:p>
      <w:pPr>
        <w:pStyle w:val="Paragrafoelenco"/>
        <w:spacing w:after="0"/>
        <w:ind w:left="360"/>
        <w:jc w:val="center"/>
        <w:rPr>
          <w:u w:val="single"/>
        </w:rPr>
      </w:pPr>
    </w:p>
    <w:p>
      <w:pPr>
        <w:pStyle w:val="Paragrafoelenco"/>
        <w:spacing w:after="0"/>
        <w:ind w:left="360"/>
        <w:jc w:val="center"/>
        <w:rPr>
          <w:u w:val="single"/>
        </w:rPr>
      </w:pPr>
    </w:p>
    <w:p>
      <w:pPr>
        <w:pStyle w:val="Paragrafoelenco"/>
        <w:spacing w:after="0"/>
        <w:ind w:left="360"/>
        <w:jc w:val="center"/>
        <w:rPr>
          <w:u w:val="single"/>
        </w:rPr>
      </w:pPr>
    </w:p>
    <w:p>
      <w:pPr>
        <w:pStyle w:val="Paragrafoelenco"/>
        <w:spacing w:after="0"/>
        <w:ind w:left="360"/>
        <w:jc w:val="center"/>
        <w:rPr>
          <w:u w:val="single"/>
        </w:rPr>
      </w:pPr>
    </w:p>
    <w:p>
      <w:pPr>
        <w:pStyle w:val="Paragrafoelenco"/>
        <w:spacing w:after="0"/>
        <w:ind w:left="360"/>
        <w:jc w:val="center"/>
        <w:rPr>
          <w:u w:val="single"/>
        </w:rPr>
      </w:pPr>
    </w:p>
    <w:p>
      <w:pPr>
        <w:pStyle w:val="Paragrafoelenco"/>
        <w:spacing w:after="0"/>
        <w:ind w:left="360"/>
        <w:jc w:val="center"/>
        <w:rPr>
          <w:u w:val="single"/>
        </w:rPr>
      </w:pPr>
    </w:p>
    <w:p>
      <w:pPr>
        <w:pStyle w:val="Paragrafoelenco"/>
        <w:spacing w:after="0"/>
        <w:ind w:left="360"/>
        <w:jc w:val="center"/>
        <w:rPr>
          <w:u w:val="single"/>
        </w:rPr>
      </w:pPr>
    </w:p>
    <w:p>
      <w:pPr>
        <w:pStyle w:val="Paragrafoelenco"/>
        <w:spacing w:after="0"/>
        <w:ind w:left="360"/>
        <w:jc w:val="center"/>
        <w:rPr>
          <w:u w:val="single"/>
        </w:rPr>
      </w:pPr>
      <w:r>
        <w:rPr>
          <w:u w:val="single"/>
        </w:rPr>
        <w:lastRenderedPageBreak/>
        <w:t>Passività - Trattamento di fine rapporto – Variazioni</w:t>
      </w:r>
    </w:p>
    <w:p>
      <w:pPr>
        <w:pStyle w:val="Paragrafoelenco"/>
        <w:spacing w:after="0"/>
        <w:ind w:left="360"/>
        <w:jc w:val="center"/>
        <w:rPr>
          <w:u w:val="single"/>
        </w:rPr>
      </w:pPr>
    </w:p>
    <w:bookmarkStart w:id="6" w:name="_Hlk42106573"/>
    <w:bookmarkStart w:id="7" w:name="_MON_1652719580"/>
    <w:bookmarkEnd w:id="7"/>
    <w:p>
      <w:pPr>
        <w:pStyle w:val="Paragrafoelenco"/>
        <w:spacing w:after="0"/>
        <w:ind w:left="360"/>
        <w:jc w:val="center"/>
      </w:pPr>
      <w:r>
        <w:object w:dxaOrig="8758" w:dyaOrig="1400">
          <v:shape id="_x0000_i1031" type="#_x0000_t75" style="width:6in;height:1in" o:ole="">
            <v:imagedata r:id="rId19" o:title=""/>
          </v:shape>
          <o:OLEObject Type="Embed" ProgID="Excel.Sheet.12" ShapeID="_x0000_i1031" DrawAspect="Content" ObjectID="_1712728066" r:id="rId20"/>
        </w:object>
      </w:r>
      <w:bookmarkEnd w:id="6"/>
    </w:p>
    <w:p>
      <w:pPr>
        <w:pStyle w:val="Paragrafoelenco"/>
        <w:spacing w:after="0"/>
        <w:ind w:left="360"/>
        <w:jc w:val="center"/>
        <w:rPr>
          <w:u w:val="single"/>
        </w:rPr>
      </w:pPr>
      <w:r>
        <w:rPr>
          <w:rFonts w:ascii="Arial" w:hAnsi="Arial" w:cs="Arial"/>
          <w:sz w:val="16"/>
          <w:szCs w:val="16"/>
        </w:rPr>
        <w:t>RACCORDO FRA LA GESTIONE DEI RESIDUI PASSIVI RISULTANTI DAL CONTO DI BILANCIO ED I DEBITI ISCRITTI IN SITUAZIONE PATRIMONIALE AL 31/12/2021</w:t>
      </w:r>
    </w:p>
    <w:p>
      <w:pPr>
        <w:pStyle w:val="Paragrafoelenco"/>
        <w:spacing w:after="0"/>
        <w:ind w:left="360"/>
        <w:jc w:val="center"/>
        <w:rPr>
          <w:u w:val="single"/>
        </w:rPr>
      </w:pPr>
    </w:p>
    <w:bookmarkStart w:id="8" w:name="_Hlk42155538"/>
    <w:bookmarkStart w:id="9" w:name="_MON_1652768159"/>
    <w:bookmarkEnd w:id="9"/>
    <w:p>
      <w:pPr>
        <w:pStyle w:val="Paragrafoelenco"/>
        <w:spacing w:after="0"/>
        <w:ind w:left="360"/>
        <w:jc w:val="center"/>
        <w:rPr>
          <w:u w:val="single"/>
        </w:rPr>
      </w:pPr>
      <w:r>
        <w:object w:dxaOrig="9475" w:dyaOrig="1530">
          <v:shape id="_x0000_i1032" type="#_x0000_t75" style="width:473.25pt;height:78.75pt" o:ole="">
            <v:imagedata r:id="rId21" o:title=""/>
          </v:shape>
          <o:OLEObject Type="Embed" ProgID="Excel.Sheet.12" ShapeID="_x0000_i1032" DrawAspect="Content" ObjectID="_1712728067" r:id="rId22"/>
        </w:object>
      </w:r>
      <w:bookmarkEnd w:id="8"/>
    </w:p>
    <w:p>
      <w:pPr>
        <w:pStyle w:val="Paragrafoelenco"/>
        <w:spacing w:after="0"/>
        <w:ind w:left="360"/>
        <w:jc w:val="center"/>
        <w:rPr>
          <w:highlight w:val="cyan"/>
          <w:u w:val="single"/>
        </w:rPr>
      </w:pPr>
    </w:p>
    <w:p>
      <w:pPr>
        <w:pStyle w:val="Paragrafoelenco"/>
        <w:spacing w:after="0"/>
        <w:ind w:left="360"/>
        <w:jc w:val="center"/>
        <w:rPr>
          <w:u w:val="single"/>
        </w:rPr>
      </w:pPr>
      <w:r>
        <w:rPr>
          <w:u w:val="single"/>
        </w:rPr>
        <w:t>Passività - Debiti – Variazioni</w:t>
      </w:r>
    </w:p>
    <w:p>
      <w:pPr>
        <w:pStyle w:val="Paragrafoelenco"/>
        <w:spacing w:after="0"/>
        <w:ind w:left="360"/>
        <w:jc w:val="center"/>
        <w:rPr>
          <w:u w:val="single"/>
        </w:rPr>
      </w:pPr>
    </w:p>
    <w:bookmarkStart w:id="10" w:name="_MON_1652719794"/>
    <w:bookmarkEnd w:id="10"/>
    <w:p>
      <w:pPr>
        <w:pStyle w:val="Paragrafoelenco"/>
        <w:spacing w:after="0"/>
        <w:ind w:left="360"/>
        <w:jc w:val="center"/>
        <w:rPr>
          <w:u w:val="single"/>
        </w:rPr>
      </w:pPr>
      <w:r>
        <w:object w:dxaOrig="8647" w:dyaOrig="2090">
          <v:shape id="_x0000_i1033" type="#_x0000_t75" style="width:6in;height:100.5pt" o:ole="">
            <v:imagedata r:id="rId23" o:title=""/>
          </v:shape>
          <o:OLEObject Type="Embed" ProgID="Excel.Sheet.12" ShapeID="_x0000_i1033" DrawAspect="Content" ObjectID="_1712728068" r:id="rId24"/>
        </w:object>
      </w:r>
    </w:p>
    <w:p>
      <w:pPr>
        <w:pStyle w:val="Paragrafoelenco"/>
        <w:spacing w:after="0"/>
        <w:ind w:left="360"/>
        <w:jc w:val="center"/>
        <w:rPr>
          <w:rFonts w:ascii="Arial" w:hAnsi="Arial" w:cs="Arial"/>
          <w:sz w:val="16"/>
          <w:szCs w:val="16"/>
        </w:rPr>
      </w:pPr>
    </w:p>
    <w:p>
      <w:pPr>
        <w:pStyle w:val="Paragrafoelenco"/>
        <w:spacing w:after="0"/>
        <w:ind w:left="360"/>
        <w:jc w:val="center"/>
        <w:rPr>
          <w:rFonts w:ascii="Arial" w:hAnsi="Arial" w:cs="Arial"/>
          <w:sz w:val="16"/>
          <w:szCs w:val="16"/>
        </w:rPr>
      </w:pPr>
    </w:p>
    <w:p>
      <w:pPr>
        <w:pStyle w:val="Paragrafoelenco"/>
        <w:spacing w:after="0"/>
        <w:ind w:left="360"/>
        <w:jc w:val="center"/>
        <w:rPr>
          <w:u w:val="single"/>
        </w:rPr>
      </w:pPr>
      <w:r>
        <w:rPr>
          <w:rFonts w:ascii="Arial" w:hAnsi="Arial" w:cs="Arial"/>
          <w:sz w:val="16"/>
          <w:szCs w:val="16"/>
        </w:rPr>
        <w:t>RACCORDO FRA LA GESTIONE DEI RESIDUI PASSIVI RISULTANTI DAL CONTO DI BILANCIO ED I DEBITI ISCRITTI IN SITUAZIONE PATRIMONIALE AL 31/12/2021</w:t>
      </w:r>
    </w:p>
    <w:p>
      <w:pPr>
        <w:pStyle w:val="Paragrafoelenco"/>
        <w:spacing w:after="0"/>
        <w:ind w:left="360"/>
        <w:jc w:val="center"/>
        <w:rPr>
          <w:u w:val="single"/>
        </w:rPr>
      </w:pPr>
    </w:p>
    <w:bookmarkStart w:id="11" w:name="_MON_1652768318"/>
    <w:bookmarkEnd w:id="11"/>
    <w:p>
      <w:pPr>
        <w:pStyle w:val="Paragrafoelenco"/>
        <w:spacing w:after="0"/>
        <w:ind w:left="360"/>
        <w:jc w:val="center"/>
        <w:rPr>
          <w:u w:val="single"/>
        </w:rPr>
      </w:pPr>
      <w:r>
        <w:object w:dxaOrig="9311" w:dyaOrig="6705">
          <v:shape id="_x0000_i1034" type="#_x0000_t75" style="width:465pt;height:276.75pt" o:ole="">
            <v:imagedata r:id="rId25" o:title=""/>
          </v:shape>
          <o:OLEObject Type="Embed" ProgID="Excel.Sheet.12" ShapeID="_x0000_i1034" DrawAspect="Content" ObjectID="_1712728069" r:id="rId26"/>
        </w:object>
      </w:r>
    </w:p>
    <w:p>
      <w:pPr>
        <w:pStyle w:val="Paragrafoelenco"/>
        <w:spacing w:after="0"/>
        <w:ind w:left="360"/>
        <w:jc w:val="center"/>
        <w:rPr>
          <w:u w:val="single"/>
        </w:rPr>
      </w:pPr>
    </w:p>
    <w:p>
      <w:pPr>
        <w:pStyle w:val="Paragrafoelenco"/>
        <w:numPr>
          <w:ilvl w:val="0"/>
          <w:numId w:val="12"/>
        </w:numPr>
        <w:spacing w:after="0"/>
        <w:jc w:val="both"/>
        <w:rPr>
          <w:b/>
          <w:bCs/>
        </w:rPr>
      </w:pPr>
      <w:r>
        <w:rPr>
          <w:b/>
          <w:bCs/>
        </w:rPr>
        <w:lastRenderedPageBreak/>
        <w:t xml:space="preserve">L’ammontare dei crediti e dei debiti di durata residua superiore a cinque anni e dei debiti assistiti da garanzie reali su beni sociali </w:t>
      </w:r>
    </w:p>
    <w:p>
      <w:pPr>
        <w:pStyle w:val="Paragrafoelenco"/>
        <w:spacing w:after="0"/>
        <w:ind w:left="360"/>
        <w:jc w:val="both"/>
      </w:pPr>
      <w:r>
        <w:t>Non esistono crediti e/o debiti di durata residua superiore a cinque anni.</w:t>
      </w:r>
    </w:p>
    <w:p>
      <w:pPr>
        <w:pStyle w:val="Paragrafoelenco"/>
        <w:spacing w:after="0"/>
        <w:ind w:left="360"/>
        <w:jc w:val="both"/>
      </w:pPr>
      <w:r>
        <w:t>Non esistono debiti assistiti da garanzie reale su beni sociali.</w:t>
      </w:r>
    </w:p>
    <w:p>
      <w:pPr>
        <w:pStyle w:val="Paragrafoelenco"/>
        <w:numPr>
          <w:ilvl w:val="0"/>
          <w:numId w:val="13"/>
        </w:numPr>
        <w:spacing w:after="0"/>
        <w:jc w:val="both"/>
        <w:rPr>
          <w:b/>
          <w:bCs/>
        </w:rPr>
      </w:pPr>
      <w:r>
        <w:rPr>
          <w:b/>
          <w:bCs/>
        </w:rPr>
        <w:t xml:space="preserve">L’ammontare degli oneri finanziari imputati nell’esercizio a valori iscritti nell’attivo dello stato patrimoniale, distintamente per ogni voce </w:t>
      </w:r>
    </w:p>
    <w:p>
      <w:pPr>
        <w:spacing w:after="0"/>
        <w:ind w:left="360"/>
        <w:jc w:val="both"/>
      </w:pPr>
      <w:r>
        <w:t>Nel corso dell’esercizio non sono stati capitalizzati oneri finanziari.</w:t>
      </w:r>
    </w:p>
    <w:p>
      <w:pPr>
        <w:pStyle w:val="Paragrafoelenco"/>
        <w:numPr>
          <w:ilvl w:val="0"/>
          <w:numId w:val="13"/>
        </w:numPr>
        <w:spacing w:after="0"/>
        <w:jc w:val="both"/>
        <w:rPr>
          <w:b/>
          <w:bCs/>
        </w:rPr>
      </w:pPr>
      <w:r>
        <w:rPr>
          <w:b/>
          <w:bCs/>
        </w:rPr>
        <w:t>L’importo complessivo degli impegni, delle garanzie e delle passività potenziali non risultanti dallo stato patrimoniale, con indicazione della natura delle garanzie reali prestate; gli impegni esistenti in materia di trattamento di quiescenza e simili, nonché gli impegni assunti nei confronti di imprese controllate, collegate, nonché controllanti e imprese sottoposte al controllo di quest’ultime sono distintamente indicati</w:t>
      </w:r>
    </w:p>
    <w:p>
      <w:pPr>
        <w:spacing w:after="0"/>
        <w:ind w:left="360"/>
        <w:jc w:val="both"/>
      </w:pPr>
      <w:r>
        <w:t>Non esistono impegni, garanzie e passività potenziali non risultanti dallo stato patrimoniale.</w:t>
      </w:r>
    </w:p>
    <w:p>
      <w:pPr>
        <w:pStyle w:val="Paragrafoelenco"/>
        <w:numPr>
          <w:ilvl w:val="0"/>
          <w:numId w:val="14"/>
        </w:numPr>
        <w:spacing w:after="0"/>
        <w:jc w:val="both"/>
        <w:rPr>
          <w:b/>
          <w:bCs/>
        </w:rPr>
      </w:pPr>
      <w:r>
        <w:rPr>
          <w:b/>
          <w:bCs/>
        </w:rPr>
        <w:t xml:space="preserve">Il numero medio dei dipendenti, ripartito per categoria </w:t>
      </w:r>
    </w:p>
    <w:p>
      <w:pPr>
        <w:pStyle w:val="Paragrafoelenco"/>
        <w:spacing w:after="0"/>
        <w:ind w:left="360"/>
        <w:jc w:val="both"/>
      </w:pPr>
      <w:r>
        <w:t xml:space="preserve">Risultano n. 4 dipendenti, come sottoindicato in dettaglio nella voce “Dati relativi al personale dipendente”. </w:t>
      </w:r>
    </w:p>
    <w:p>
      <w:pPr>
        <w:pStyle w:val="Paragrafoelenco"/>
        <w:numPr>
          <w:ilvl w:val="0"/>
          <w:numId w:val="14"/>
        </w:numPr>
        <w:spacing w:after="0"/>
        <w:jc w:val="both"/>
        <w:rPr>
          <w:b/>
          <w:bCs/>
        </w:rPr>
      </w:pPr>
      <w:r>
        <w:rPr>
          <w:b/>
          <w:bCs/>
        </w:rPr>
        <w:t>L'ammontare dei compensi, delle anticipazioni e dei crediti spettanti agli amministratori</w:t>
      </w:r>
    </w:p>
    <w:p>
      <w:pPr>
        <w:pStyle w:val="Paragrafoelenco"/>
        <w:spacing w:after="0"/>
        <w:ind w:left="360"/>
        <w:jc w:val="both"/>
        <w:rPr>
          <w:highlight w:val="yellow"/>
        </w:rPr>
      </w:pPr>
      <w:r>
        <w:t>Come da capitolo in bilancio e pubblicato nell’area trasparenza.</w:t>
      </w:r>
    </w:p>
    <w:p>
      <w:pPr>
        <w:spacing w:after="0"/>
        <w:ind w:left="426" w:hanging="426"/>
        <w:jc w:val="both"/>
        <w:rPr>
          <w:b/>
          <w:bCs/>
        </w:rPr>
      </w:pPr>
      <w:r>
        <w:rPr>
          <w:b/>
          <w:bCs/>
        </w:rPr>
        <w:t xml:space="preserve">16-bis) L’importo totale dei corrispettivi spettanti al revisore per la revisione legale dei conti annuali, per i servizi di consulenza fiscale e per altri servizi diversi dalla revisione legale. </w:t>
      </w:r>
    </w:p>
    <w:p>
      <w:pPr>
        <w:pStyle w:val="Paragrafoelenco"/>
        <w:spacing w:after="0"/>
        <w:ind w:left="360"/>
        <w:jc w:val="both"/>
      </w:pPr>
      <w:r>
        <w:t>Come da capitolo in bilancio e pubblicato nell’area trasparenza</w:t>
      </w:r>
    </w:p>
    <w:p>
      <w:pPr>
        <w:pStyle w:val="Paragrafoelenco"/>
        <w:spacing w:after="0"/>
        <w:ind w:left="0"/>
        <w:jc w:val="both"/>
        <w:rPr>
          <w:b/>
          <w:bCs/>
        </w:rPr>
      </w:pPr>
      <w:r>
        <w:rPr>
          <w:b/>
          <w:bCs/>
        </w:rPr>
        <w:t xml:space="preserve">22-bis) Le operazioni realizzate con parti correlate. </w:t>
      </w:r>
    </w:p>
    <w:p>
      <w:pPr>
        <w:pStyle w:val="Paragrafoelenco"/>
        <w:spacing w:after="0"/>
        <w:ind w:left="360"/>
        <w:jc w:val="both"/>
      </w:pPr>
      <w:r>
        <w:t xml:space="preserve">Non sono state </w:t>
      </w:r>
      <w:proofErr w:type="gramStart"/>
      <w:r>
        <w:t>poste in essere</w:t>
      </w:r>
      <w:proofErr w:type="gramEnd"/>
      <w:r>
        <w:t xml:space="preserve"> operazioni con parti correlate.</w:t>
      </w:r>
    </w:p>
    <w:p>
      <w:pPr>
        <w:pStyle w:val="Paragrafoelenco"/>
        <w:spacing w:after="0"/>
        <w:ind w:left="0"/>
        <w:jc w:val="both"/>
        <w:rPr>
          <w:b/>
          <w:bCs/>
        </w:rPr>
      </w:pPr>
      <w:r>
        <w:rPr>
          <w:b/>
          <w:bCs/>
        </w:rPr>
        <w:t>22-ter) La natura e l’obiettivo economico di accordi non risultanti dallo stato patrimoniale.</w:t>
      </w:r>
    </w:p>
    <w:p>
      <w:pPr>
        <w:pStyle w:val="Paragrafoelenco"/>
        <w:spacing w:after="0"/>
        <w:ind w:left="360"/>
        <w:jc w:val="both"/>
      </w:pPr>
      <w:r>
        <w:t xml:space="preserve">Non sono presenti accordi non risultanti dallo Stato patrimoniale. </w:t>
      </w:r>
    </w:p>
    <w:p>
      <w:pPr>
        <w:pStyle w:val="Paragrafoelenco"/>
        <w:spacing w:after="0"/>
        <w:ind w:left="0"/>
        <w:jc w:val="both"/>
        <w:rPr>
          <w:b/>
          <w:bCs/>
        </w:rPr>
      </w:pPr>
      <w:r>
        <w:rPr>
          <w:b/>
          <w:bCs/>
        </w:rPr>
        <w:t xml:space="preserve">22-quater) La natura e l’effetto patrimoniale, finanziario ed economico dei fatti di rilievo avvenuti dopo la chiusura dell’esercizio </w:t>
      </w:r>
    </w:p>
    <w:p>
      <w:pPr>
        <w:pStyle w:val="Paragrafoelenco"/>
        <w:spacing w:after="0"/>
        <w:ind w:left="360"/>
        <w:jc w:val="both"/>
      </w:pPr>
      <w:r>
        <w:t xml:space="preserve">La situazione emergenziale derivante dall’infezione da SARS Covid-19 non si è ancora conclusa e continua a dispiegare i propri effetti negativi anche, se in misura meno accentuata grazie alle misure di vaccinazione di massa messe in atto nel corso del 2021 e nei primi mesi del 2022. </w:t>
      </w:r>
    </w:p>
    <w:p>
      <w:pPr>
        <w:pStyle w:val="Paragrafoelenco"/>
        <w:spacing w:after="0"/>
        <w:ind w:left="360"/>
        <w:jc w:val="both"/>
      </w:pPr>
      <w:r>
        <w:t>Tra i recenti avvenimenti non meno importanti, l’evento del conflitto Russia-Ucraina che è probabile abbia un impatto sulla crescita del settore trasporti e movimentazione a medio-lungo termine.</w:t>
      </w:r>
    </w:p>
    <w:p>
      <w:pPr>
        <w:pStyle w:val="Paragrafoelenco"/>
        <w:spacing w:after="0"/>
        <w:ind w:left="360"/>
        <w:jc w:val="both"/>
      </w:pPr>
      <w:r>
        <w:t>L’ente, al di là dei citati differimenti nei tempi di riscossione delle entrate, non ha subito modifiche significative nella capacità economico-finanziaria e ha garantito la fornitura e fruizione dei servizi prestati seppur con una rimodulazione e riorganizzazione del personale per il quale è stata applicata anche la modalità di lavoro a distanza o “smart working”.</w:t>
      </w:r>
    </w:p>
    <w:p>
      <w:pPr>
        <w:pStyle w:val="Paragrafoelenco"/>
        <w:spacing w:after="0"/>
        <w:ind w:left="360"/>
        <w:jc w:val="both"/>
      </w:pPr>
    </w:p>
    <w:p>
      <w:pPr>
        <w:spacing w:after="0"/>
        <w:jc w:val="both"/>
        <w:rPr>
          <w:b/>
          <w:bCs/>
        </w:rPr>
      </w:pPr>
      <w:r>
        <w:rPr>
          <w:b/>
          <w:bCs/>
        </w:rPr>
        <w:t>Dati relativi al personale dipendente ed agli accantonamenti per indennità di anzianità.</w:t>
      </w:r>
    </w:p>
    <w:p>
      <w:pPr>
        <w:spacing w:after="0"/>
        <w:jc w:val="both"/>
      </w:pPr>
      <w:r>
        <w:t xml:space="preserve">Il personale in forza al 31/12/2021 si compone di: </w:t>
      </w:r>
    </w:p>
    <w:p>
      <w:pPr>
        <w:pStyle w:val="Paragrafoelenco"/>
        <w:spacing w:after="0"/>
        <w:ind w:left="360"/>
        <w:jc w:val="both"/>
      </w:pPr>
      <w:r>
        <w:t>n. 2 dipendenti Area "C"</w:t>
      </w:r>
    </w:p>
    <w:p>
      <w:pPr>
        <w:pStyle w:val="Paragrafoelenco"/>
        <w:spacing w:after="0"/>
        <w:ind w:left="360"/>
        <w:jc w:val="both"/>
      </w:pPr>
      <w:r>
        <w:t>n. 2 dipendenti Area "B"</w:t>
      </w:r>
    </w:p>
    <w:p>
      <w:pPr>
        <w:jc w:val="center"/>
        <w:rPr>
          <w:b/>
          <w:bCs/>
        </w:rPr>
      </w:pPr>
      <w:r>
        <w:rPr>
          <w:b/>
          <w:bCs/>
        </w:rPr>
        <w:t>CONCLUSIONI</w:t>
      </w:r>
    </w:p>
    <w:p>
      <w:pPr>
        <w:jc w:val="both"/>
      </w:pPr>
      <w:r>
        <w:t xml:space="preserve">A fronte di un congruo bilancio si rileva un avanzo economico-patrimoniale per l'anno 2021 di €. 67.395,95 </w:t>
      </w:r>
    </w:p>
    <w:p>
      <w:pPr>
        <w:jc w:val="both"/>
      </w:pPr>
      <w:r>
        <w:t>Rimane dunque valida l’osservazione che si deve fare un controllo preventivo delle uscite in modo da mantenere un avanzo di amministrazione mai al di sotto di €. 100.000,00.</w:t>
      </w:r>
    </w:p>
    <w:p>
      <w:pPr>
        <w:tabs>
          <w:tab w:val="center" w:pos="7371"/>
        </w:tabs>
        <w:jc w:val="both"/>
      </w:pPr>
      <w:r>
        <w:tab/>
        <w:t>Il Tesoriere</w:t>
      </w:r>
    </w:p>
    <w:p>
      <w:pPr>
        <w:tabs>
          <w:tab w:val="center" w:pos="7371"/>
        </w:tabs>
        <w:jc w:val="both"/>
      </w:pPr>
      <w:r>
        <w:tab/>
        <w:t>__________________________________</w:t>
      </w:r>
    </w:p>
    <w:sectPr>
      <w:headerReference w:type="default" r:id="rId27"/>
      <w:footerReference w:type="default" r:id="rId2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Arial"/>
    <w:panose1 w:val="020F0502020204030204"/>
    <w:charset w:val="00"/>
    <w:family w:val="swiss"/>
    <w:pitch w:val="variable"/>
    <w:sig w:usb0="E4002EFF" w:usb1="C0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Wingdings 3"/>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Narrow">
    <w:altName w:val="Times New Roman"/>
    <w:panose1 w:val="00000000000000000000"/>
    <w:charset w:val="00"/>
    <w:family w:val="auto"/>
    <w:notTrueType/>
    <w:pitch w:val="default"/>
    <w:sig w:usb0="00000003" w:usb1="00000000" w:usb2="00000000" w:usb3="00000000" w:csb0="00000001" w:csb1="00000000"/>
  </w:font>
  <w:font w:name="Calibri Light">
    <w:altName w:val="Calibri"/>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dipagina"/>
    </w:pPr>
    <w:r>
      <w:t>www.ordinemedici.ancona.it</w:t>
    </w:r>
    <w:r>
      <w:tab/>
    </w:r>
    <w:sdt>
      <w:sdtPr>
        <w:id w:val="-796220221"/>
        <w:docPartObj>
          <w:docPartGallery w:val="Page Numbers (Bottom of Page)"/>
          <w:docPartUnique/>
        </w:docPartObj>
      </w:sdtPr>
      <w:sdtContent>
        <w:r>
          <w:fldChar w:fldCharType="begin"/>
        </w:r>
        <w:r>
          <w:instrText>PAGE   \* MERGEFORMAT</w:instrText>
        </w:r>
        <w:r>
          <w:fldChar w:fldCharType="separate"/>
        </w:r>
        <w:r>
          <w:rPr>
            <w:noProof/>
          </w:rPr>
          <w:t>10</w:t>
        </w:r>
        <w:r>
          <w:fldChar w:fldCharType="end"/>
        </w:r>
      </w:sdtContent>
    </w:sdt>
    <w:r>
      <w:tab/>
      <w:t>segreteria@ordinemedici.ancona.it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Intestazione"/>
    </w:pPr>
    <w:r>
      <w:t>Ordine Provinciale Medici-Chirurghi</w:t>
    </w:r>
    <w:r>
      <w:tab/>
    </w:r>
    <w:r>
      <w:tab/>
      <w:t>Via Buonarroti, 1</w:t>
    </w:r>
  </w:p>
  <w:p>
    <w:pPr>
      <w:pStyle w:val="Intestazione"/>
    </w:pPr>
    <w:r>
      <w:t>e degli Odontoiatri</w:t>
    </w:r>
    <w:r>
      <w:tab/>
    </w:r>
    <w:r>
      <w:tab/>
      <w:t>60125 – Ancona (AN)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879A0"/>
    <w:multiLevelType w:val="hybridMultilevel"/>
    <w:tmpl w:val="92347DBC"/>
    <w:lvl w:ilvl="0" w:tplc="C7C66D7C">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15:restartNumberingAfterBreak="0">
    <w:nsid w:val="09A66636"/>
    <w:multiLevelType w:val="hybridMultilevel"/>
    <w:tmpl w:val="C6DED6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ECB34B9"/>
    <w:multiLevelType w:val="hybridMultilevel"/>
    <w:tmpl w:val="954296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6C6AC8"/>
    <w:multiLevelType w:val="hybridMultilevel"/>
    <w:tmpl w:val="A89611F8"/>
    <w:lvl w:ilvl="0" w:tplc="C7C66D7C">
      <w:numFmt w:val="bullet"/>
      <w:lvlText w:val="•"/>
      <w:lvlJc w:val="left"/>
      <w:pPr>
        <w:ind w:left="775" w:hanging="360"/>
      </w:pPr>
      <w:rPr>
        <w:rFonts w:ascii="Calibri" w:eastAsiaTheme="minorHAnsi" w:hAnsi="Calibri" w:cs="Calibri" w:hint="default"/>
      </w:rPr>
    </w:lvl>
    <w:lvl w:ilvl="1" w:tplc="04100003" w:tentative="1">
      <w:start w:val="1"/>
      <w:numFmt w:val="bullet"/>
      <w:lvlText w:val="o"/>
      <w:lvlJc w:val="left"/>
      <w:pPr>
        <w:ind w:left="1855" w:hanging="360"/>
      </w:pPr>
      <w:rPr>
        <w:rFonts w:ascii="Courier New" w:hAnsi="Courier New" w:cs="Courier New" w:hint="default"/>
      </w:rPr>
    </w:lvl>
    <w:lvl w:ilvl="2" w:tplc="04100005" w:tentative="1">
      <w:start w:val="1"/>
      <w:numFmt w:val="bullet"/>
      <w:lvlText w:val=""/>
      <w:lvlJc w:val="left"/>
      <w:pPr>
        <w:ind w:left="2575" w:hanging="360"/>
      </w:pPr>
      <w:rPr>
        <w:rFonts w:ascii="Wingdings" w:hAnsi="Wingdings" w:hint="default"/>
      </w:rPr>
    </w:lvl>
    <w:lvl w:ilvl="3" w:tplc="04100001" w:tentative="1">
      <w:start w:val="1"/>
      <w:numFmt w:val="bullet"/>
      <w:lvlText w:val=""/>
      <w:lvlJc w:val="left"/>
      <w:pPr>
        <w:ind w:left="3295" w:hanging="360"/>
      </w:pPr>
      <w:rPr>
        <w:rFonts w:ascii="Symbol" w:hAnsi="Symbol" w:hint="default"/>
      </w:rPr>
    </w:lvl>
    <w:lvl w:ilvl="4" w:tplc="04100003" w:tentative="1">
      <w:start w:val="1"/>
      <w:numFmt w:val="bullet"/>
      <w:lvlText w:val="o"/>
      <w:lvlJc w:val="left"/>
      <w:pPr>
        <w:ind w:left="4015" w:hanging="360"/>
      </w:pPr>
      <w:rPr>
        <w:rFonts w:ascii="Courier New" w:hAnsi="Courier New" w:cs="Courier New" w:hint="default"/>
      </w:rPr>
    </w:lvl>
    <w:lvl w:ilvl="5" w:tplc="04100005" w:tentative="1">
      <w:start w:val="1"/>
      <w:numFmt w:val="bullet"/>
      <w:lvlText w:val=""/>
      <w:lvlJc w:val="left"/>
      <w:pPr>
        <w:ind w:left="4735" w:hanging="360"/>
      </w:pPr>
      <w:rPr>
        <w:rFonts w:ascii="Wingdings" w:hAnsi="Wingdings" w:hint="default"/>
      </w:rPr>
    </w:lvl>
    <w:lvl w:ilvl="6" w:tplc="04100001" w:tentative="1">
      <w:start w:val="1"/>
      <w:numFmt w:val="bullet"/>
      <w:lvlText w:val=""/>
      <w:lvlJc w:val="left"/>
      <w:pPr>
        <w:ind w:left="5455" w:hanging="360"/>
      </w:pPr>
      <w:rPr>
        <w:rFonts w:ascii="Symbol" w:hAnsi="Symbol" w:hint="default"/>
      </w:rPr>
    </w:lvl>
    <w:lvl w:ilvl="7" w:tplc="04100003" w:tentative="1">
      <w:start w:val="1"/>
      <w:numFmt w:val="bullet"/>
      <w:lvlText w:val="o"/>
      <w:lvlJc w:val="left"/>
      <w:pPr>
        <w:ind w:left="6175" w:hanging="360"/>
      </w:pPr>
      <w:rPr>
        <w:rFonts w:ascii="Courier New" w:hAnsi="Courier New" w:cs="Courier New" w:hint="default"/>
      </w:rPr>
    </w:lvl>
    <w:lvl w:ilvl="8" w:tplc="04100005" w:tentative="1">
      <w:start w:val="1"/>
      <w:numFmt w:val="bullet"/>
      <w:lvlText w:val=""/>
      <w:lvlJc w:val="left"/>
      <w:pPr>
        <w:ind w:left="6895" w:hanging="360"/>
      </w:pPr>
      <w:rPr>
        <w:rFonts w:ascii="Wingdings" w:hAnsi="Wingdings" w:hint="default"/>
      </w:rPr>
    </w:lvl>
  </w:abstractNum>
  <w:abstractNum w:abstractNumId="4" w15:restartNumberingAfterBreak="0">
    <w:nsid w:val="13015119"/>
    <w:multiLevelType w:val="hybridMultilevel"/>
    <w:tmpl w:val="DDD843B6"/>
    <w:lvl w:ilvl="0" w:tplc="C7C66D7C">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15:restartNumberingAfterBreak="0">
    <w:nsid w:val="1B4E244A"/>
    <w:multiLevelType w:val="hybridMultilevel"/>
    <w:tmpl w:val="BAEA2328"/>
    <w:lvl w:ilvl="0" w:tplc="04100011">
      <w:start w:val="15"/>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1C5116E7"/>
    <w:multiLevelType w:val="hybridMultilevel"/>
    <w:tmpl w:val="DE8A16E0"/>
    <w:lvl w:ilvl="0" w:tplc="FE967B04">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280D3BC6"/>
    <w:multiLevelType w:val="hybridMultilevel"/>
    <w:tmpl w:val="AC2A46BA"/>
    <w:lvl w:ilvl="0" w:tplc="04100011">
      <w:start w:val="4"/>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31B0597F"/>
    <w:multiLevelType w:val="hybridMultilevel"/>
    <w:tmpl w:val="71A65DC8"/>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337A181F"/>
    <w:multiLevelType w:val="hybridMultilevel"/>
    <w:tmpl w:val="49F0FEBC"/>
    <w:lvl w:ilvl="0" w:tplc="C7C66D7C">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8136EBC"/>
    <w:multiLevelType w:val="hybridMultilevel"/>
    <w:tmpl w:val="D88AA822"/>
    <w:lvl w:ilvl="0" w:tplc="C7C66D7C">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BE62EA0"/>
    <w:multiLevelType w:val="hybridMultilevel"/>
    <w:tmpl w:val="1CBEF8AA"/>
    <w:lvl w:ilvl="0" w:tplc="04100011">
      <w:start w:val="8"/>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42836B15"/>
    <w:multiLevelType w:val="hybridMultilevel"/>
    <w:tmpl w:val="E75408AE"/>
    <w:lvl w:ilvl="0" w:tplc="A664BB74">
      <w:numFmt w:val="bullet"/>
      <w:lvlText w:val=""/>
      <w:lvlJc w:val="left"/>
      <w:pPr>
        <w:ind w:left="360" w:hanging="360"/>
      </w:pPr>
      <w:rPr>
        <w:rFonts w:ascii="Symbol" w:eastAsiaTheme="minorHAnsi" w:hAnsi="Symbol" w:cstheme="minorBid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53F94FDF"/>
    <w:multiLevelType w:val="hybridMultilevel"/>
    <w:tmpl w:val="89A869AC"/>
    <w:lvl w:ilvl="0" w:tplc="04100011">
      <w:start w:val="6"/>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76822BEA"/>
    <w:multiLevelType w:val="hybridMultilevel"/>
    <w:tmpl w:val="B568E8D2"/>
    <w:lvl w:ilvl="0" w:tplc="C7C66D7C">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48579072">
    <w:abstractNumId w:val="12"/>
  </w:num>
  <w:num w:numId="2" w16cid:durableId="1304845388">
    <w:abstractNumId w:val="6"/>
  </w:num>
  <w:num w:numId="3" w16cid:durableId="2114084569">
    <w:abstractNumId w:val="2"/>
  </w:num>
  <w:num w:numId="4" w16cid:durableId="55320495">
    <w:abstractNumId w:val="14"/>
  </w:num>
  <w:num w:numId="5" w16cid:durableId="2095474456">
    <w:abstractNumId w:val="9"/>
  </w:num>
  <w:num w:numId="6" w16cid:durableId="1005941077">
    <w:abstractNumId w:val="10"/>
  </w:num>
  <w:num w:numId="7" w16cid:durableId="1132987460">
    <w:abstractNumId w:val="8"/>
  </w:num>
  <w:num w:numId="8" w16cid:durableId="445126179">
    <w:abstractNumId w:val="3"/>
  </w:num>
  <w:num w:numId="9" w16cid:durableId="263542803">
    <w:abstractNumId w:val="4"/>
  </w:num>
  <w:num w:numId="10" w16cid:durableId="1774127099">
    <w:abstractNumId w:val="0"/>
  </w:num>
  <w:num w:numId="11" w16cid:durableId="1076173654">
    <w:abstractNumId w:val="7"/>
  </w:num>
  <w:num w:numId="12" w16cid:durableId="1300576129">
    <w:abstractNumId w:val="13"/>
  </w:num>
  <w:num w:numId="13" w16cid:durableId="1144808938">
    <w:abstractNumId w:val="11"/>
  </w:num>
  <w:num w:numId="14" w16cid:durableId="1914581616">
    <w:abstractNumId w:val="5"/>
  </w:num>
  <w:num w:numId="15" w16cid:durableId="4934516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283"/>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chartTrackingRefBased/>
  <w15:docId w15:val="{D8D3B1E2-2547-462C-9B27-FD3C05F28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pPr>
      <w:ind w:left="720"/>
      <w:contextualSpacing/>
    </w:pPr>
  </w:style>
  <w:style w:type="table" w:styleId="Grigliatabella">
    <w:name w:val="Table Grid"/>
    <w:basedOn w:val="Tabellanorma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tyle>
  <w:style w:type="paragraph" w:styleId="Pidipagina">
    <w:name w:val="footer"/>
    <w:basedOn w:val="Normale"/>
    <w:link w:val="PidipaginaCarattere"/>
    <w:uiPriority w:val="99"/>
    <w:unhideWhenUs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tyle>
  <w:style w:type="character" w:styleId="Collegamentoipertestuale">
    <w:name w:val="Hyperlink"/>
    <w:basedOn w:val="Carpredefinitoparagrafo"/>
    <w:uiPriority w:val="99"/>
    <w:unhideWhenUsed/>
    <w:rPr>
      <w:color w:val="0563C1" w:themeColor="hyperlink"/>
      <w:u w:val="single"/>
    </w:rPr>
  </w:style>
  <w:style w:type="character" w:customStyle="1" w:styleId="Menzionenonrisolta1">
    <w:name w:val="Menzione non risolta1"/>
    <w:basedOn w:val="Carpredefinitoparagrafo"/>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256690">
      <w:bodyDiv w:val="1"/>
      <w:marLeft w:val="0"/>
      <w:marRight w:val="0"/>
      <w:marTop w:val="0"/>
      <w:marBottom w:val="0"/>
      <w:divBdr>
        <w:top w:val="none" w:sz="0" w:space="0" w:color="auto"/>
        <w:left w:val="none" w:sz="0" w:space="0" w:color="auto"/>
        <w:bottom w:val="none" w:sz="0" w:space="0" w:color="auto"/>
        <w:right w:val="none" w:sz="0" w:space="0" w:color="auto"/>
      </w:divBdr>
    </w:div>
    <w:div w:id="825241499">
      <w:bodyDiv w:val="1"/>
      <w:marLeft w:val="0"/>
      <w:marRight w:val="0"/>
      <w:marTop w:val="0"/>
      <w:marBottom w:val="0"/>
      <w:divBdr>
        <w:top w:val="none" w:sz="0" w:space="0" w:color="auto"/>
        <w:left w:val="none" w:sz="0" w:space="0" w:color="auto"/>
        <w:bottom w:val="none" w:sz="0" w:space="0" w:color="auto"/>
        <w:right w:val="none" w:sz="0" w:space="0" w:color="auto"/>
      </w:divBdr>
    </w:div>
    <w:div w:id="862595119">
      <w:bodyDiv w:val="1"/>
      <w:marLeft w:val="0"/>
      <w:marRight w:val="0"/>
      <w:marTop w:val="0"/>
      <w:marBottom w:val="0"/>
      <w:divBdr>
        <w:top w:val="none" w:sz="0" w:space="0" w:color="auto"/>
        <w:left w:val="none" w:sz="0" w:space="0" w:color="auto"/>
        <w:bottom w:val="none" w:sz="0" w:space="0" w:color="auto"/>
        <w:right w:val="none" w:sz="0" w:space="0" w:color="auto"/>
      </w:divBdr>
    </w:div>
    <w:div w:id="915210604">
      <w:bodyDiv w:val="1"/>
      <w:marLeft w:val="0"/>
      <w:marRight w:val="0"/>
      <w:marTop w:val="0"/>
      <w:marBottom w:val="0"/>
      <w:divBdr>
        <w:top w:val="none" w:sz="0" w:space="0" w:color="auto"/>
        <w:left w:val="none" w:sz="0" w:space="0" w:color="auto"/>
        <w:bottom w:val="none" w:sz="0" w:space="0" w:color="auto"/>
        <w:right w:val="none" w:sz="0" w:space="0" w:color="auto"/>
      </w:divBdr>
    </w:div>
    <w:div w:id="1015309346">
      <w:bodyDiv w:val="1"/>
      <w:marLeft w:val="0"/>
      <w:marRight w:val="0"/>
      <w:marTop w:val="0"/>
      <w:marBottom w:val="0"/>
      <w:divBdr>
        <w:top w:val="none" w:sz="0" w:space="0" w:color="auto"/>
        <w:left w:val="none" w:sz="0" w:space="0" w:color="auto"/>
        <w:bottom w:val="none" w:sz="0" w:space="0" w:color="auto"/>
        <w:right w:val="none" w:sz="0" w:space="0" w:color="auto"/>
      </w:divBdr>
    </w:div>
    <w:div w:id="1064988027">
      <w:bodyDiv w:val="1"/>
      <w:marLeft w:val="0"/>
      <w:marRight w:val="0"/>
      <w:marTop w:val="0"/>
      <w:marBottom w:val="0"/>
      <w:divBdr>
        <w:top w:val="none" w:sz="0" w:space="0" w:color="auto"/>
        <w:left w:val="none" w:sz="0" w:space="0" w:color="auto"/>
        <w:bottom w:val="none" w:sz="0" w:space="0" w:color="auto"/>
        <w:right w:val="none" w:sz="0" w:space="0" w:color="auto"/>
      </w:divBdr>
    </w:div>
    <w:div w:id="172189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xlsx"/><Relationship Id="rId13" Type="http://schemas.openxmlformats.org/officeDocument/2006/relationships/image" Target="media/image4.emf"/><Relationship Id="rId18" Type="http://schemas.openxmlformats.org/officeDocument/2006/relationships/package" Target="embeddings/Microsoft_Excel_Worksheet5.xlsx"/><Relationship Id="rId26" Type="http://schemas.openxmlformats.org/officeDocument/2006/relationships/package" Target="embeddings/Microsoft_Excel_Worksheet9.xlsx"/><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package" Target="embeddings/Microsoft_Excel_Worksheet2.xls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package" Target="embeddings/Microsoft_Excel_Worksheet4.xlsx"/><Relationship Id="rId20" Type="http://schemas.openxmlformats.org/officeDocument/2006/relationships/package" Target="embeddings/Microsoft_Excel_Worksheet6.xlsx"/><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package" Target="embeddings/Microsoft_Excel_Worksheet8.xlsx"/><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package" Target="embeddings/Microsoft_Excel_Worksheet1.xls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Excel_Worksheet3.xlsx"/><Relationship Id="rId22" Type="http://schemas.openxmlformats.org/officeDocument/2006/relationships/package" Target="embeddings/Microsoft_Excel_Worksheet7.xls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9</Pages>
  <Words>2934</Words>
  <Characters>16728</Characters>
  <Application>Microsoft Office Word</Application>
  <DocSecurity>0</DocSecurity>
  <Lines>139</Lines>
  <Paragraphs>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Morici</dc:creator>
  <cp:keywords/>
  <dc:description/>
  <cp:lastModifiedBy>microsoft365-07</cp:lastModifiedBy>
  <cp:revision>6</cp:revision>
  <dcterms:created xsi:type="dcterms:W3CDTF">2022-04-29T06:55:00Z</dcterms:created>
  <dcterms:modified xsi:type="dcterms:W3CDTF">2022-04-29T07:01:00Z</dcterms:modified>
</cp:coreProperties>
</file>